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564CC" w:rsidRPr="00362495" w:rsidRDefault="001564CC" w:rsidP="00217672">
      <w:pPr>
        <w:pStyle w:val="NoSpacing"/>
        <w:jc w:val="center"/>
        <w:outlineLvl w:val="0"/>
        <w:rPr>
          <w:rFonts w:ascii="Calibri" w:hAnsi="Calibri"/>
          <w:sz w:val="28"/>
          <w:szCs w:val="28"/>
        </w:rPr>
      </w:pPr>
      <w:bookmarkStart w:id="0" w:name="_GoBack"/>
      <w:bookmarkEnd w:id="0"/>
      <w:r w:rsidRPr="00362495">
        <w:rPr>
          <w:rFonts w:ascii="Calibri" w:hAnsi="Calibri"/>
          <w:sz w:val="28"/>
          <w:szCs w:val="28"/>
        </w:rPr>
        <w:t>University of Virginia Health System</w:t>
      </w:r>
    </w:p>
    <w:p w:rsidR="001564CC" w:rsidRPr="00362495" w:rsidRDefault="001564CC" w:rsidP="00217672">
      <w:pPr>
        <w:pStyle w:val="NoSpacing"/>
        <w:jc w:val="center"/>
        <w:outlineLvl w:val="0"/>
        <w:rPr>
          <w:rFonts w:ascii="Calibri" w:hAnsi="Calibri"/>
          <w:b/>
          <w:snapToGrid w:val="0"/>
          <w:sz w:val="28"/>
          <w:szCs w:val="28"/>
        </w:rPr>
      </w:pPr>
      <w:r w:rsidRPr="00362495">
        <w:rPr>
          <w:rFonts w:ascii="Calibri" w:hAnsi="Calibri"/>
          <w:b/>
          <w:snapToGrid w:val="0"/>
          <w:sz w:val="28"/>
          <w:szCs w:val="28"/>
        </w:rPr>
        <w:t>Medical Laboratories</w:t>
      </w:r>
    </w:p>
    <w:p w:rsidR="001564CC" w:rsidRPr="00362495" w:rsidRDefault="001564CC" w:rsidP="00217672">
      <w:pPr>
        <w:pStyle w:val="NoSpacing"/>
        <w:jc w:val="center"/>
        <w:outlineLvl w:val="0"/>
        <w:rPr>
          <w:rFonts w:ascii="Calibri" w:hAnsi="Calibri"/>
          <w:b/>
          <w:i/>
          <w:snapToGrid w:val="0"/>
          <w:sz w:val="28"/>
          <w:szCs w:val="28"/>
        </w:rPr>
      </w:pPr>
      <w:r w:rsidRPr="00362495">
        <w:rPr>
          <w:rFonts w:ascii="Calibri" w:hAnsi="Calibri"/>
          <w:b/>
          <w:i/>
          <w:snapToGrid w:val="0"/>
          <w:sz w:val="28"/>
          <w:szCs w:val="28"/>
        </w:rPr>
        <w:t>“Quality You Expect, Service You Deserve”</w:t>
      </w:r>
    </w:p>
    <w:p w:rsidR="001564CC" w:rsidRPr="006B6F55" w:rsidRDefault="001564CC" w:rsidP="00217672">
      <w:pPr>
        <w:pStyle w:val="NoSpacing"/>
        <w:jc w:val="center"/>
        <w:rPr>
          <w:rFonts w:ascii="Calibri" w:hAnsi="Calibri"/>
          <w:b/>
          <w:i/>
          <w:snapToGrid w:val="0"/>
          <w:sz w:val="26"/>
          <w:szCs w:val="26"/>
        </w:rPr>
      </w:pPr>
    </w:p>
    <w:p w:rsidR="001564CC" w:rsidRPr="00634C2D" w:rsidRDefault="001564CC" w:rsidP="00217672">
      <w:pPr>
        <w:keepNext/>
        <w:widowControl w:val="0"/>
        <w:spacing w:line="240" w:lineRule="auto"/>
        <w:jc w:val="center"/>
        <w:outlineLvl w:val="0"/>
        <w:rPr>
          <w:rFonts w:ascii="Calibri" w:hAnsi="Calibri"/>
          <w:b/>
          <w:i/>
          <w:snapToGrid w:val="0"/>
          <w:sz w:val="26"/>
          <w:szCs w:val="26"/>
          <w:u w:val="single"/>
        </w:rPr>
      </w:pPr>
      <w:r w:rsidRPr="00634C2D">
        <w:rPr>
          <w:rFonts w:ascii="Calibri" w:hAnsi="Calibri"/>
          <w:b/>
          <w:i/>
          <w:snapToGrid w:val="0"/>
          <w:sz w:val="26"/>
          <w:szCs w:val="26"/>
          <w:u w:val="single"/>
        </w:rPr>
        <w:t>LABORATORY MEDICINE UPDATE</w:t>
      </w:r>
    </w:p>
    <w:p w:rsidR="001564CC" w:rsidRDefault="001564CC" w:rsidP="00217672">
      <w:pPr>
        <w:spacing w:after="0" w:line="240" w:lineRule="auto"/>
        <w:jc w:val="center"/>
        <w:rPr>
          <w:rFonts w:ascii="Calibri" w:eastAsia="Times New Roman" w:hAnsi="Calibri"/>
          <w:bCs/>
          <w:sz w:val="26"/>
          <w:szCs w:val="26"/>
          <w:u w:val="single"/>
        </w:rPr>
      </w:pPr>
      <w:r>
        <w:rPr>
          <w:rFonts w:ascii="Calibri" w:eastAsia="Times New Roman" w:hAnsi="Calibri"/>
          <w:bCs/>
          <w:sz w:val="26"/>
          <w:szCs w:val="26"/>
          <w:u w:val="single"/>
        </w:rPr>
        <w:t>May 8, 2018</w:t>
      </w:r>
    </w:p>
    <w:p w:rsidR="001564CC" w:rsidRDefault="001564CC" w:rsidP="00217672">
      <w:pPr>
        <w:pStyle w:val="PlainText"/>
      </w:pPr>
    </w:p>
    <w:p w:rsidR="001564CC" w:rsidRPr="001564CC" w:rsidRDefault="001564CC" w:rsidP="00217672">
      <w:pPr>
        <w:pStyle w:val="PlainText"/>
        <w:jc w:val="center"/>
        <w:rPr>
          <w:rFonts w:asciiTheme="minorHAnsi" w:hAnsiTheme="minorHAnsi" w:cstheme="minorHAnsi"/>
          <w:b/>
          <w:szCs w:val="22"/>
        </w:rPr>
      </w:pPr>
      <w:r w:rsidRPr="001564CC">
        <w:rPr>
          <w:rFonts w:asciiTheme="minorHAnsi" w:hAnsiTheme="minorHAnsi" w:cstheme="minorHAnsi"/>
          <w:b/>
          <w:szCs w:val="22"/>
        </w:rPr>
        <w:t>Creatine Kinase MB Isoform (CKMB) Testing No Longer Available</w:t>
      </w:r>
    </w:p>
    <w:p w:rsidR="001564CC" w:rsidRPr="001564CC" w:rsidRDefault="001564CC" w:rsidP="00217672">
      <w:pPr>
        <w:pStyle w:val="PlainText"/>
        <w:rPr>
          <w:rFonts w:asciiTheme="minorHAnsi" w:hAnsiTheme="minorHAnsi" w:cstheme="minorHAnsi"/>
          <w:szCs w:val="22"/>
        </w:rPr>
      </w:pPr>
    </w:p>
    <w:p w:rsidR="001564CC" w:rsidRPr="001564CC" w:rsidRDefault="001564CC" w:rsidP="00217672">
      <w:pPr>
        <w:autoSpaceDE w:val="0"/>
        <w:autoSpaceDN w:val="0"/>
        <w:adjustRightInd w:val="0"/>
        <w:spacing w:after="0" w:line="240" w:lineRule="auto"/>
        <w:jc w:val="both"/>
        <w:rPr>
          <w:rFonts w:cstheme="minorHAnsi"/>
        </w:rPr>
      </w:pPr>
      <w:r w:rsidRPr="001564CC">
        <w:rPr>
          <w:rFonts w:cstheme="minorHAnsi"/>
        </w:rPr>
        <w:t xml:space="preserve">Mayo Medical Laboratories has ceased offering CKMB testing effective May 5, 2018.  Their announcement states:  </w:t>
      </w:r>
      <w:r w:rsidRPr="001564CC">
        <w:rPr>
          <w:rFonts w:cstheme="minorHAnsi"/>
          <w:color w:val="010202"/>
        </w:rPr>
        <w:t>This test will become obsolete because of its limited clinical utility. Cardiac troponin (cTn) is preferred because of its clinical sensitivity and specificity for myocardial injury. Prior to development of troponin assays, creatine kinase-myocardial band (CK-MB) was useful for early evidence of myocardial injury. However, CK-MB is much less sensitive for the detection of myocardial injury than troponin as significantly more tissue injury is necessary for its detection. Therefore, according to 2012 Universal Definition of acute myocardial infarction (AMI) endorsed by the American College of Cardiology Foundation (ACCF), the European Society of Cardiology (ESC), the American Heart Association (AHA), and the World Heart Federation (WHF), cTn was deemed the preferred biomarker for the diagnosis of AMI. Additionally, the 2014 AHA/ACC guidelines concluded that CK-MB is not useful for the diagnosis of ACS (Class III, Level of Evidence: A). CK-MB has also been used to detect MI after percutaneous coronary intervention (PCI); however its utility remains controversial.</w:t>
      </w:r>
    </w:p>
    <w:p w:rsidR="001564CC" w:rsidRPr="001564CC" w:rsidRDefault="001564CC" w:rsidP="00217672">
      <w:pPr>
        <w:pStyle w:val="PlainText"/>
        <w:rPr>
          <w:rFonts w:asciiTheme="minorHAnsi" w:hAnsiTheme="minorHAnsi" w:cstheme="minorHAnsi"/>
          <w:szCs w:val="22"/>
        </w:rPr>
      </w:pPr>
    </w:p>
    <w:p w:rsidR="00794BEF" w:rsidRPr="002733B8" w:rsidRDefault="00794BEF" w:rsidP="00217672">
      <w:pPr>
        <w:spacing w:after="0" w:line="240" w:lineRule="auto"/>
        <w:jc w:val="center"/>
        <w:rPr>
          <w:rFonts w:cstheme="minorHAnsi"/>
          <w:b/>
          <w:smallCaps/>
        </w:rPr>
      </w:pPr>
      <w:r w:rsidRPr="002733B8">
        <w:rPr>
          <w:rFonts w:cstheme="minorHAnsi"/>
          <w:b/>
          <w:smallCaps/>
        </w:rPr>
        <w:t>Intercept® platelets are here at UVAHS!</w:t>
      </w:r>
    </w:p>
    <w:p w:rsidR="00794BEF" w:rsidRPr="002733B8" w:rsidRDefault="00794BEF" w:rsidP="00217672">
      <w:pPr>
        <w:spacing w:line="240" w:lineRule="auto"/>
        <w:jc w:val="center"/>
        <w:rPr>
          <w:rFonts w:cstheme="minorHAnsi"/>
          <w:b/>
          <w:smallCaps/>
        </w:rPr>
      </w:pPr>
      <w:r w:rsidRPr="002733B8">
        <w:rPr>
          <w:rFonts w:cstheme="minorHAnsi"/>
          <w:b/>
          <w:smallCaps/>
        </w:rPr>
        <w:t>A safer product for the most vulnerable populations of patients</w:t>
      </w:r>
    </w:p>
    <w:p w:rsidR="00C51FDE" w:rsidRPr="001564CC" w:rsidRDefault="00C51FDE" w:rsidP="00217672">
      <w:pPr>
        <w:spacing w:line="240" w:lineRule="auto"/>
        <w:jc w:val="both"/>
        <w:rPr>
          <w:rFonts w:cstheme="minorHAnsi"/>
        </w:rPr>
      </w:pPr>
      <w:r w:rsidRPr="001564CC">
        <w:rPr>
          <w:rFonts w:cstheme="minorHAnsi"/>
        </w:rPr>
        <w:t>The transfusion of blood and of blood components is safer than it’s ever been, yet we continuously strive to improve the safety profile of blood transfusion.</w:t>
      </w:r>
    </w:p>
    <w:p w:rsidR="00D366CE" w:rsidRPr="001564CC" w:rsidRDefault="00C51FDE" w:rsidP="00217672">
      <w:pPr>
        <w:spacing w:line="240" w:lineRule="auto"/>
        <w:jc w:val="both"/>
        <w:rPr>
          <w:rFonts w:cstheme="minorHAnsi"/>
        </w:rPr>
      </w:pPr>
      <w:r w:rsidRPr="001564CC">
        <w:rPr>
          <w:rFonts w:cstheme="minorHAnsi"/>
        </w:rPr>
        <w:t xml:space="preserve">One arena in the blood transfusion world that </w:t>
      </w:r>
      <w:r w:rsidR="00380A69" w:rsidRPr="001564CC">
        <w:rPr>
          <w:rFonts w:cstheme="minorHAnsi"/>
        </w:rPr>
        <w:t xml:space="preserve">has been </w:t>
      </w:r>
      <w:r w:rsidRPr="001564CC">
        <w:rPr>
          <w:rFonts w:cstheme="minorHAnsi"/>
        </w:rPr>
        <w:t xml:space="preserve">ripe for improvement in safety is the transfusion of platelets. </w:t>
      </w:r>
      <w:r w:rsidR="00D366CE" w:rsidRPr="001564CC">
        <w:rPr>
          <w:rFonts w:cstheme="minorHAnsi"/>
        </w:rPr>
        <w:t xml:space="preserve">The way we have to store platelets so they work optimally (room temperature, with agitation), unfortunately also makes them </w:t>
      </w:r>
      <w:r w:rsidR="00F01F8B" w:rsidRPr="001564CC">
        <w:rPr>
          <w:rFonts w:cstheme="minorHAnsi"/>
        </w:rPr>
        <w:t>ideal</w:t>
      </w:r>
      <w:r w:rsidR="00D366CE" w:rsidRPr="001564CC">
        <w:rPr>
          <w:rFonts w:cstheme="minorHAnsi"/>
        </w:rPr>
        <w:t xml:space="preserve"> bacterial incubators, with </w:t>
      </w:r>
      <w:r w:rsidRPr="001564CC">
        <w:rPr>
          <w:rFonts w:cstheme="minorHAnsi"/>
        </w:rPr>
        <w:t>bacterial outgrowth</w:t>
      </w:r>
      <w:r w:rsidR="00D366CE" w:rsidRPr="001564CC">
        <w:rPr>
          <w:rFonts w:cstheme="minorHAnsi"/>
        </w:rPr>
        <w:t xml:space="preserve"> leading to a very occasional, but very deadly, septic transfusion reaction</w:t>
      </w:r>
      <w:r w:rsidRPr="001564CC">
        <w:rPr>
          <w:rFonts w:cstheme="minorHAnsi"/>
        </w:rPr>
        <w:t>.</w:t>
      </w:r>
      <w:r w:rsidR="00B6348D" w:rsidRPr="001564CC">
        <w:rPr>
          <w:rFonts w:cstheme="minorHAnsi"/>
        </w:rPr>
        <w:t xml:space="preserve"> </w:t>
      </w:r>
      <w:r w:rsidR="00726650" w:rsidRPr="001564CC">
        <w:rPr>
          <w:rFonts w:cstheme="minorHAnsi"/>
        </w:rPr>
        <w:t>Primarily f</w:t>
      </w:r>
      <w:r w:rsidR="00B6348D" w:rsidRPr="001564CC">
        <w:rPr>
          <w:rFonts w:cstheme="minorHAnsi"/>
        </w:rPr>
        <w:t>or this reason, platelets have a storage life of no more than five days.</w:t>
      </w:r>
    </w:p>
    <w:p w:rsidR="00C51FDE" w:rsidRPr="001564CC" w:rsidRDefault="00C51FDE" w:rsidP="00217672">
      <w:pPr>
        <w:spacing w:line="240" w:lineRule="auto"/>
        <w:jc w:val="both"/>
        <w:rPr>
          <w:rFonts w:cstheme="minorHAnsi"/>
        </w:rPr>
      </w:pPr>
      <w:r w:rsidRPr="001564CC">
        <w:rPr>
          <w:rFonts w:cstheme="minorHAnsi"/>
        </w:rPr>
        <w:t xml:space="preserve">To minimize </w:t>
      </w:r>
      <w:r w:rsidR="00D366CE" w:rsidRPr="001564CC">
        <w:rPr>
          <w:rFonts w:cstheme="minorHAnsi"/>
        </w:rPr>
        <w:t xml:space="preserve">such </w:t>
      </w:r>
      <w:r w:rsidRPr="001564CC">
        <w:rPr>
          <w:rFonts w:cstheme="minorHAnsi"/>
        </w:rPr>
        <w:t>contamination</w:t>
      </w:r>
      <w:r w:rsidR="00D366CE" w:rsidRPr="001564CC">
        <w:rPr>
          <w:rFonts w:cstheme="minorHAnsi"/>
        </w:rPr>
        <w:t>s (and septic reactions)</w:t>
      </w:r>
      <w:r w:rsidRPr="001564CC">
        <w:rPr>
          <w:rFonts w:cstheme="minorHAnsi"/>
        </w:rPr>
        <w:t xml:space="preserve">, </w:t>
      </w:r>
      <w:r w:rsidR="00D366CE" w:rsidRPr="001564CC">
        <w:rPr>
          <w:rFonts w:cstheme="minorHAnsi"/>
        </w:rPr>
        <w:t xml:space="preserve">several maneuvers in the collection and manufacturing processes have been implemented over the last two decades: (1) </w:t>
      </w:r>
      <w:r w:rsidRPr="001564CC">
        <w:rPr>
          <w:rFonts w:cstheme="minorHAnsi"/>
        </w:rPr>
        <w:t>all platelet collections are done as sterilely as possible</w:t>
      </w:r>
      <w:r w:rsidR="00D366CE" w:rsidRPr="001564CC">
        <w:rPr>
          <w:rFonts w:cstheme="minorHAnsi"/>
        </w:rPr>
        <w:t xml:space="preserve">; (2) </w:t>
      </w:r>
      <w:r w:rsidRPr="001564CC">
        <w:rPr>
          <w:rFonts w:cstheme="minorHAnsi"/>
        </w:rPr>
        <w:t>the first part of the collection (where the skin plug is) is diverted into a discard bag</w:t>
      </w:r>
      <w:r w:rsidR="00D366CE" w:rsidRPr="001564CC">
        <w:rPr>
          <w:rFonts w:cstheme="minorHAnsi"/>
        </w:rPr>
        <w:t>;</w:t>
      </w:r>
      <w:r w:rsidRPr="001564CC">
        <w:rPr>
          <w:rFonts w:cstheme="minorHAnsi"/>
        </w:rPr>
        <w:t xml:space="preserve"> and </w:t>
      </w:r>
      <w:r w:rsidR="00D366CE" w:rsidRPr="001564CC">
        <w:rPr>
          <w:rFonts w:cstheme="minorHAnsi"/>
        </w:rPr>
        <w:t xml:space="preserve">(3) </w:t>
      </w:r>
      <w:r w:rsidRPr="001564CC">
        <w:rPr>
          <w:rFonts w:cstheme="minorHAnsi"/>
        </w:rPr>
        <w:t>an aliquot is taken for overnight culture</w:t>
      </w:r>
      <w:r w:rsidR="00D366CE" w:rsidRPr="001564CC">
        <w:rPr>
          <w:rFonts w:cstheme="minorHAnsi"/>
        </w:rPr>
        <w:t xml:space="preserve">, and the culture must come back as “no growth” before the donated </w:t>
      </w:r>
      <w:r w:rsidRPr="001564CC">
        <w:rPr>
          <w:rFonts w:cstheme="minorHAnsi"/>
        </w:rPr>
        <w:t xml:space="preserve">platelet </w:t>
      </w:r>
      <w:r w:rsidR="00D366CE" w:rsidRPr="001564CC">
        <w:rPr>
          <w:rFonts w:cstheme="minorHAnsi"/>
        </w:rPr>
        <w:t xml:space="preserve">may be </w:t>
      </w:r>
      <w:r w:rsidRPr="001564CC">
        <w:rPr>
          <w:rFonts w:cstheme="minorHAnsi"/>
        </w:rPr>
        <w:t>released</w:t>
      </w:r>
      <w:r w:rsidR="00D366CE" w:rsidRPr="001564CC">
        <w:rPr>
          <w:rFonts w:cstheme="minorHAnsi"/>
        </w:rPr>
        <w:t>.</w:t>
      </w:r>
      <w:r w:rsidR="00CE5630" w:rsidRPr="001564CC">
        <w:rPr>
          <w:rFonts w:cstheme="minorHAnsi"/>
        </w:rPr>
        <w:t xml:space="preserve"> </w:t>
      </w:r>
      <w:r w:rsidR="00D366CE" w:rsidRPr="001564CC">
        <w:rPr>
          <w:rFonts w:cstheme="minorHAnsi"/>
        </w:rPr>
        <w:t>Despite these interventions,</w:t>
      </w:r>
      <w:r w:rsidRPr="001564CC">
        <w:rPr>
          <w:rFonts w:cstheme="minorHAnsi"/>
        </w:rPr>
        <w:t xml:space="preserve"> platelet contamination </w:t>
      </w:r>
      <w:r w:rsidR="00D366CE" w:rsidRPr="001564CC">
        <w:rPr>
          <w:rFonts w:cstheme="minorHAnsi"/>
        </w:rPr>
        <w:t>leading to sepsis has not been eliminated completely</w:t>
      </w:r>
      <w:r w:rsidR="0045667E" w:rsidRPr="001564CC">
        <w:rPr>
          <w:rFonts w:cstheme="minorHAnsi"/>
        </w:rPr>
        <w:t xml:space="preserve">: </w:t>
      </w:r>
      <w:r w:rsidR="00D366CE" w:rsidRPr="001564CC">
        <w:rPr>
          <w:rFonts w:cstheme="minorHAnsi"/>
        </w:rPr>
        <w:t xml:space="preserve">septic contamination </w:t>
      </w:r>
      <w:r w:rsidR="0045667E" w:rsidRPr="001564CC">
        <w:rPr>
          <w:rFonts w:cstheme="minorHAnsi"/>
        </w:rPr>
        <w:t xml:space="preserve">~ </w:t>
      </w:r>
      <w:r w:rsidR="00195A04" w:rsidRPr="001564CC">
        <w:rPr>
          <w:rFonts w:cstheme="minorHAnsi"/>
        </w:rPr>
        <w:t>1 in 1</w:t>
      </w:r>
      <w:r w:rsidRPr="001564CC">
        <w:rPr>
          <w:rFonts w:cstheme="minorHAnsi"/>
        </w:rPr>
        <w:t xml:space="preserve">0,000, with death resulting from sepsis </w:t>
      </w:r>
      <w:r w:rsidR="0045667E" w:rsidRPr="001564CC">
        <w:rPr>
          <w:rFonts w:cstheme="minorHAnsi"/>
        </w:rPr>
        <w:t>~</w:t>
      </w:r>
      <w:r w:rsidRPr="001564CC">
        <w:rPr>
          <w:rFonts w:cstheme="minorHAnsi"/>
        </w:rPr>
        <w:t xml:space="preserve"> 1 in 100,000</w:t>
      </w:r>
      <w:r w:rsidR="00D366CE" w:rsidRPr="001564CC">
        <w:rPr>
          <w:rFonts w:cstheme="minorHAnsi"/>
        </w:rPr>
        <w:t>.</w:t>
      </w:r>
    </w:p>
    <w:p w:rsidR="00D366CE" w:rsidRPr="001564CC" w:rsidRDefault="00D366CE" w:rsidP="00217672">
      <w:pPr>
        <w:spacing w:line="240" w:lineRule="auto"/>
        <w:jc w:val="both"/>
        <w:rPr>
          <w:rFonts w:cstheme="minorHAnsi"/>
        </w:rPr>
      </w:pPr>
      <w:r w:rsidRPr="001564CC">
        <w:rPr>
          <w:rFonts w:cstheme="minorHAnsi"/>
        </w:rPr>
        <w:t>To bring the risk of bacterial sepsis down to zero, the UVAHS blood bank has recently begun to use Intercept®</w:t>
      </w:r>
      <w:r w:rsidR="00700BFF" w:rsidRPr="001564CC">
        <w:rPr>
          <w:rFonts w:cstheme="minorHAnsi"/>
        </w:rPr>
        <w:t xml:space="preserve"> platelets: </w:t>
      </w:r>
      <w:r w:rsidR="0069113C" w:rsidRPr="001564CC">
        <w:rPr>
          <w:rFonts w:cstheme="minorHAnsi"/>
        </w:rPr>
        <w:t xml:space="preserve">platelets that </w:t>
      </w:r>
      <w:r w:rsidR="00380A69" w:rsidRPr="001564CC">
        <w:rPr>
          <w:rFonts w:cstheme="minorHAnsi"/>
        </w:rPr>
        <w:t xml:space="preserve">have been inactivated for pathogens. The process, performed right after collection from the </w:t>
      </w:r>
      <w:r w:rsidR="00700BFF" w:rsidRPr="001564CC">
        <w:rPr>
          <w:rFonts w:cstheme="minorHAnsi"/>
        </w:rPr>
        <w:t>donor</w:t>
      </w:r>
      <w:r w:rsidR="00380A69" w:rsidRPr="001564CC">
        <w:rPr>
          <w:rFonts w:cstheme="minorHAnsi"/>
        </w:rPr>
        <w:t>, involves treatment of platelets with amotosalen and U</w:t>
      </w:r>
      <w:r w:rsidR="002733B8">
        <w:rPr>
          <w:rFonts w:cstheme="minorHAnsi"/>
        </w:rPr>
        <w:t>ltraviolet-</w:t>
      </w:r>
      <w:r w:rsidR="00380A69" w:rsidRPr="001564CC">
        <w:rPr>
          <w:rFonts w:cstheme="minorHAnsi"/>
        </w:rPr>
        <w:t>A light.</w:t>
      </w:r>
      <w:r w:rsidR="00CE5630" w:rsidRPr="001564CC">
        <w:rPr>
          <w:rFonts w:cstheme="minorHAnsi"/>
        </w:rPr>
        <w:t xml:space="preserve"> </w:t>
      </w:r>
      <w:r w:rsidR="00380A69" w:rsidRPr="001564CC">
        <w:rPr>
          <w:rFonts w:cstheme="minorHAnsi"/>
        </w:rPr>
        <w:t>This causes cross-linking of the DNA (or RNA) of all errant bacteria (and viruses) that may have inadvertently contaminated the platelet unit, despite best efforts at keeping the collection sterile.</w:t>
      </w:r>
      <w:r w:rsidR="00CE5630" w:rsidRPr="001564CC">
        <w:rPr>
          <w:rFonts w:cstheme="minorHAnsi"/>
        </w:rPr>
        <w:t xml:space="preserve"> </w:t>
      </w:r>
      <w:r w:rsidR="00380A69" w:rsidRPr="001564CC">
        <w:rPr>
          <w:rFonts w:cstheme="minorHAnsi"/>
        </w:rPr>
        <w:t>Th</w:t>
      </w:r>
      <w:r w:rsidR="0069113C" w:rsidRPr="001564CC">
        <w:rPr>
          <w:rFonts w:cstheme="minorHAnsi"/>
        </w:rPr>
        <w:t>e</w:t>
      </w:r>
      <w:r w:rsidR="00380A69" w:rsidRPr="001564CC">
        <w:rPr>
          <w:rFonts w:cstheme="minorHAnsi"/>
        </w:rPr>
        <w:t xml:space="preserve"> result</w:t>
      </w:r>
      <w:r w:rsidR="0069113C" w:rsidRPr="001564CC">
        <w:rPr>
          <w:rFonts w:cstheme="minorHAnsi"/>
        </w:rPr>
        <w:t xml:space="preserve"> is </w:t>
      </w:r>
      <w:r w:rsidR="00195A04" w:rsidRPr="001564CC">
        <w:rPr>
          <w:rFonts w:cstheme="minorHAnsi"/>
        </w:rPr>
        <w:t xml:space="preserve">a </w:t>
      </w:r>
      <w:r w:rsidR="00380A69" w:rsidRPr="001564CC">
        <w:rPr>
          <w:rFonts w:cstheme="minorHAnsi"/>
        </w:rPr>
        <w:t>completely sterile platelet unit.</w:t>
      </w:r>
    </w:p>
    <w:p w:rsidR="000E2243" w:rsidRPr="001564CC" w:rsidRDefault="00380A69" w:rsidP="00217672">
      <w:pPr>
        <w:spacing w:line="240" w:lineRule="auto"/>
        <w:jc w:val="both"/>
        <w:rPr>
          <w:rFonts w:cstheme="minorHAnsi"/>
        </w:rPr>
      </w:pPr>
      <w:r w:rsidRPr="001564CC">
        <w:rPr>
          <w:rFonts w:cstheme="minorHAnsi"/>
        </w:rPr>
        <w:lastRenderedPageBreak/>
        <w:t xml:space="preserve">The Intercept® platelet system was approved by the FDA </w:t>
      </w:r>
      <w:r w:rsidR="00B6348D" w:rsidRPr="001564CC">
        <w:rPr>
          <w:rFonts w:cstheme="minorHAnsi"/>
        </w:rPr>
        <w:t xml:space="preserve">in March, 2016, </w:t>
      </w:r>
      <w:r w:rsidRPr="001564CC">
        <w:rPr>
          <w:rFonts w:cstheme="minorHAnsi"/>
        </w:rPr>
        <w:t xml:space="preserve">and its use </w:t>
      </w:r>
      <w:r w:rsidR="00726650" w:rsidRPr="001564CC">
        <w:rPr>
          <w:rFonts w:cstheme="minorHAnsi"/>
        </w:rPr>
        <w:t xml:space="preserve">in the USA </w:t>
      </w:r>
      <w:r w:rsidRPr="001564CC">
        <w:rPr>
          <w:rFonts w:cstheme="minorHAnsi"/>
        </w:rPr>
        <w:t>has been expanding.</w:t>
      </w:r>
      <w:r w:rsidR="00CE5630" w:rsidRPr="001564CC">
        <w:rPr>
          <w:rFonts w:cstheme="minorHAnsi"/>
        </w:rPr>
        <w:t xml:space="preserve"> </w:t>
      </w:r>
      <w:r w:rsidRPr="001564CC">
        <w:rPr>
          <w:rFonts w:cstheme="minorHAnsi"/>
        </w:rPr>
        <w:t>The Intercept® platelet system was approved in Europe a decade ago</w:t>
      </w:r>
      <w:r w:rsidR="0045667E" w:rsidRPr="001564CC">
        <w:rPr>
          <w:rFonts w:cstheme="minorHAnsi"/>
        </w:rPr>
        <w:t>;</w:t>
      </w:r>
      <w:r w:rsidRPr="001564CC">
        <w:rPr>
          <w:rFonts w:cstheme="minorHAnsi"/>
        </w:rPr>
        <w:t xml:space="preserve"> post-market </w:t>
      </w:r>
      <w:r w:rsidR="0045667E" w:rsidRPr="001564CC">
        <w:rPr>
          <w:rFonts w:cstheme="minorHAnsi"/>
        </w:rPr>
        <w:t>s</w:t>
      </w:r>
      <w:r w:rsidRPr="001564CC">
        <w:rPr>
          <w:rFonts w:cstheme="minorHAnsi"/>
        </w:rPr>
        <w:t>urveys there have shown no (</w:t>
      </w:r>
      <w:r w:rsidRPr="001564CC">
        <w:rPr>
          <w:rFonts w:cstheme="minorHAnsi"/>
          <w:b/>
          <w:i/>
        </w:rPr>
        <w:t>zero</w:t>
      </w:r>
      <w:r w:rsidR="0069113C" w:rsidRPr="001564CC">
        <w:rPr>
          <w:rFonts w:cstheme="minorHAnsi"/>
          <w:b/>
          <w:i/>
        </w:rPr>
        <w:t>!</w:t>
      </w:r>
      <w:r w:rsidRPr="001564CC">
        <w:rPr>
          <w:rFonts w:cstheme="minorHAnsi"/>
        </w:rPr>
        <w:t xml:space="preserve">) contamination events or septic reactions </w:t>
      </w:r>
      <w:r w:rsidR="00F01F8B" w:rsidRPr="001564CC">
        <w:rPr>
          <w:rFonts w:cstheme="minorHAnsi"/>
        </w:rPr>
        <w:t>associated with over 600,000 amotosalen/UVA-treated platelet transfusions surveyed</w:t>
      </w:r>
      <w:r w:rsidR="007963CA" w:rsidRPr="001564CC">
        <w:rPr>
          <w:rStyle w:val="FootnoteReference"/>
          <w:rFonts w:cstheme="minorHAnsi"/>
        </w:rPr>
        <w:footnoteReference w:id="1"/>
      </w:r>
      <w:r w:rsidRPr="001564CC">
        <w:rPr>
          <w:rFonts w:cstheme="minorHAnsi"/>
        </w:rPr>
        <w:t>.</w:t>
      </w:r>
      <w:r w:rsidR="00CE5630" w:rsidRPr="001564CC">
        <w:rPr>
          <w:rFonts w:cstheme="minorHAnsi"/>
        </w:rPr>
        <w:t xml:space="preserve"> </w:t>
      </w:r>
      <w:r w:rsidR="0069113C" w:rsidRPr="001564CC">
        <w:rPr>
          <w:rFonts w:cstheme="minorHAnsi"/>
        </w:rPr>
        <w:t>Phase III studies in the US have likewise shown excellent safety and efficacy profiles.</w:t>
      </w:r>
    </w:p>
    <w:p w:rsidR="00794BEF" w:rsidRPr="001564CC" w:rsidRDefault="0045667E" w:rsidP="00217672">
      <w:pPr>
        <w:spacing w:line="240" w:lineRule="auto"/>
        <w:jc w:val="both"/>
        <w:rPr>
          <w:rFonts w:cstheme="minorHAnsi"/>
        </w:rPr>
      </w:pPr>
      <w:r w:rsidRPr="001564CC">
        <w:rPr>
          <w:rFonts w:cstheme="minorHAnsi"/>
        </w:rPr>
        <w:t xml:space="preserve">The </w:t>
      </w:r>
      <w:r w:rsidR="0069113C" w:rsidRPr="001564CC">
        <w:rPr>
          <w:rFonts w:cstheme="minorHAnsi"/>
        </w:rPr>
        <w:t>use of Intercept® platelets brings with it significant additional advantages:</w:t>
      </w:r>
    </w:p>
    <w:p w:rsidR="0069113C" w:rsidRPr="001564CC" w:rsidRDefault="00B6348D" w:rsidP="00217672">
      <w:pPr>
        <w:pStyle w:val="ListParagraph"/>
        <w:numPr>
          <w:ilvl w:val="0"/>
          <w:numId w:val="2"/>
        </w:numPr>
        <w:spacing w:line="240" w:lineRule="auto"/>
        <w:jc w:val="both"/>
        <w:rPr>
          <w:rFonts w:cstheme="minorHAnsi"/>
        </w:rPr>
      </w:pPr>
      <w:r w:rsidRPr="001564CC">
        <w:rPr>
          <w:rFonts w:cstheme="minorHAnsi"/>
        </w:rPr>
        <w:t>V</w:t>
      </w:r>
      <w:r w:rsidR="0069113C" w:rsidRPr="001564CC">
        <w:rPr>
          <w:rFonts w:cstheme="minorHAnsi"/>
        </w:rPr>
        <w:t>iruses (both DNA and RNA) and parasites are also neutralized, meaning we are in an excellent position to prevent transmission from the next (as-yet-unknown) emerging pathogen that could become a threat to the blood supply, as experienced in recent years with the emergence of, for example, West Nile Virus, and Zika virus, both of which are neutralized by the Intercept® technique.</w:t>
      </w:r>
    </w:p>
    <w:p w:rsidR="00794BEF" w:rsidRPr="001564CC" w:rsidRDefault="00F01F8B" w:rsidP="00217672">
      <w:pPr>
        <w:pStyle w:val="ListParagraph"/>
        <w:numPr>
          <w:ilvl w:val="0"/>
          <w:numId w:val="2"/>
        </w:numPr>
        <w:spacing w:line="240" w:lineRule="auto"/>
        <w:jc w:val="both"/>
        <w:rPr>
          <w:rFonts w:cstheme="minorHAnsi"/>
        </w:rPr>
      </w:pPr>
      <w:r w:rsidRPr="001564CC">
        <w:rPr>
          <w:rFonts w:cstheme="minorHAnsi"/>
        </w:rPr>
        <w:t>D</w:t>
      </w:r>
      <w:r w:rsidR="00794BEF" w:rsidRPr="001564CC">
        <w:rPr>
          <w:rFonts w:cstheme="minorHAnsi"/>
        </w:rPr>
        <w:t>onor nucleated cells, including T cells</w:t>
      </w:r>
      <w:r w:rsidR="0045667E" w:rsidRPr="001564CC">
        <w:rPr>
          <w:rFonts w:cstheme="minorHAnsi"/>
        </w:rPr>
        <w:t>,</w:t>
      </w:r>
      <w:r w:rsidR="00794BEF" w:rsidRPr="001564CC">
        <w:rPr>
          <w:rFonts w:cstheme="minorHAnsi"/>
        </w:rPr>
        <w:t xml:space="preserve"> are also neutralized, meaning the Intercept® process protects against the very rare but very lethal Transfusion-Associated Graft-versus-Host Disease (</w:t>
      </w:r>
      <w:r w:rsidR="000E2243" w:rsidRPr="001564CC">
        <w:rPr>
          <w:rFonts w:cstheme="minorHAnsi"/>
        </w:rPr>
        <w:t>TA-</w:t>
      </w:r>
      <w:r w:rsidR="00794BEF" w:rsidRPr="001564CC">
        <w:rPr>
          <w:rFonts w:cstheme="minorHAnsi"/>
        </w:rPr>
        <w:t>GVHD).</w:t>
      </w:r>
      <w:r w:rsidR="00CE5630" w:rsidRPr="001564CC">
        <w:rPr>
          <w:rFonts w:cstheme="minorHAnsi"/>
        </w:rPr>
        <w:t xml:space="preserve"> </w:t>
      </w:r>
      <w:r w:rsidRPr="001564CC">
        <w:rPr>
          <w:rFonts w:cstheme="minorHAnsi"/>
        </w:rPr>
        <w:t>Accordingly</w:t>
      </w:r>
      <w:r w:rsidR="00794BEF" w:rsidRPr="001564CC">
        <w:rPr>
          <w:rFonts w:cstheme="minorHAnsi"/>
        </w:rPr>
        <w:t>, we don’t have to irradiate Intercept® platelets.</w:t>
      </w:r>
      <w:r w:rsidR="00CE5630" w:rsidRPr="001564CC">
        <w:rPr>
          <w:rFonts w:cstheme="minorHAnsi"/>
        </w:rPr>
        <w:t xml:space="preserve"> </w:t>
      </w:r>
      <w:r w:rsidR="00794BEF" w:rsidRPr="001564CC">
        <w:rPr>
          <w:rFonts w:cstheme="minorHAnsi"/>
        </w:rPr>
        <w:t xml:space="preserve">Therefore, you will not see the Rad-Sure stickers on Intercept® platelets; but don’t worry, they are as effective for preventing </w:t>
      </w:r>
      <w:r w:rsidR="000E2243" w:rsidRPr="001564CC">
        <w:rPr>
          <w:rFonts w:cstheme="minorHAnsi"/>
        </w:rPr>
        <w:t>TA-</w:t>
      </w:r>
      <w:r w:rsidR="00794BEF" w:rsidRPr="001564CC">
        <w:rPr>
          <w:rFonts w:cstheme="minorHAnsi"/>
        </w:rPr>
        <w:t>GVHD as are irradiated conventional platelets.</w:t>
      </w:r>
    </w:p>
    <w:p w:rsidR="00CD141D" w:rsidRPr="001564CC" w:rsidRDefault="00CD141D" w:rsidP="00217672">
      <w:pPr>
        <w:pStyle w:val="ListParagraph"/>
        <w:numPr>
          <w:ilvl w:val="0"/>
          <w:numId w:val="2"/>
        </w:numPr>
        <w:spacing w:line="240" w:lineRule="auto"/>
        <w:jc w:val="both"/>
        <w:rPr>
          <w:rFonts w:cstheme="minorHAnsi"/>
        </w:rPr>
      </w:pPr>
      <w:r w:rsidRPr="001564CC">
        <w:rPr>
          <w:rFonts w:cstheme="minorHAnsi"/>
        </w:rPr>
        <w:t xml:space="preserve">Because Intercept® platelets need not undergo </w:t>
      </w:r>
      <w:r w:rsidR="007963CA" w:rsidRPr="001564CC">
        <w:rPr>
          <w:rFonts w:cstheme="minorHAnsi"/>
        </w:rPr>
        <w:t xml:space="preserve">an initial </w:t>
      </w:r>
      <w:r w:rsidR="006A227C" w:rsidRPr="001564CC">
        <w:rPr>
          <w:rFonts w:cstheme="minorHAnsi"/>
        </w:rPr>
        <w:t xml:space="preserve">overnight </w:t>
      </w:r>
      <w:r w:rsidR="007963CA" w:rsidRPr="001564CC">
        <w:rPr>
          <w:rFonts w:cstheme="minorHAnsi"/>
        </w:rPr>
        <w:t xml:space="preserve">bacterial detection culture on the day of collection, they can be released </w:t>
      </w:r>
      <w:r w:rsidR="00F01F8B" w:rsidRPr="001564CC">
        <w:rPr>
          <w:rFonts w:cstheme="minorHAnsi"/>
        </w:rPr>
        <w:t xml:space="preserve">into inventory </w:t>
      </w:r>
      <w:r w:rsidR="007963CA" w:rsidRPr="001564CC">
        <w:rPr>
          <w:rFonts w:cstheme="minorHAnsi"/>
        </w:rPr>
        <w:t xml:space="preserve">earlier than conventional platelets, thus enhancing </w:t>
      </w:r>
      <w:r w:rsidR="00F01F8B" w:rsidRPr="001564CC">
        <w:rPr>
          <w:rFonts w:cstheme="minorHAnsi"/>
        </w:rPr>
        <w:t xml:space="preserve">supply </w:t>
      </w:r>
      <w:r w:rsidR="007963CA" w:rsidRPr="001564CC">
        <w:rPr>
          <w:rFonts w:cstheme="minorHAnsi"/>
        </w:rPr>
        <w:t>and decreasing out-dating and wastage.</w:t>
      </w:r>
      <w:r w:rsidR="00B6348D" w:rsidRPr="001564CC">
        <w:rPr>
          <w:rFonts w:cstheme="minorHAnsi"/>
        </w:rPr>
        <w:t xml:space="preserve"> Also, while the storage life for Intercept® platelets is currently still limited to five days, extending that time frame to </w:t>
      </w:r>
      <w:r w:rsidR="00D323C8" w:rsidRPr="001564CC">
        <w:rPr>
          <w:rFonts w:cstheme="minorHAnsi"/>
        </w:rPr>
        <w:t xml:space="preserve">seven </w:t>
      </w:r>
      <w:r w:rsidR="005C0D54" w:rsidRPr="001564CC">
        <w:rPr>
          <w:rFonts w:cstheme="minorHAnsi"/>
        </w:rPr>
        <w:t>days is under consideration by regulatory agencies.</w:t>
      </w:r>
    </w:p>
    <w:p w:rsidR="00794BEF" w:rsidRPr="001564CC" w:rsidRDefault="000E2243" w:rsidP="00217672">
      <w:pPr>
        <w:spacing w:line="240" w:lineRule="auto"/>
        <w:jc w:val="both"/>
        <w:rPr>
          <w:rFonts w:cstheme="minorHAnsi"/>
        </w:rPr>
      </w:pPr>
      <w:r w:rsidRPr="001564CC">
        <w:rPr>
          <w:rFonts w:cstheme="minorHAnsi"/>
        </w:rPr>
        <w:t xml:space="preserve">We are excited about bringing this product into UVAHS for our patients. </w:t>
      </w:r>
      <w:r w:rsidR="00794BEF" w:rsidRPr="001564CC">
        <w:rPr>
          <w:rFonts w:cstheme="minorHAnsi"/>
        </w:rPr>
        <w:t>If you have any questions, please do not hesitate to contact one of us:</w:t>
      </w:r>
    </w:p>
    <w:p w:rsidR="00794BEF" w:rsidRPr="001564CC" w:rsidRDefault="00794BEF" w:rsidP="00217672">
      <w:pPr>
        <w:spacing w:after="0" w:line="240" w:lineRule="auto"/>
        <w:jc w:val="both"/>
        <w:rPr>
          <w:rFonts w:eastAsia="Batang" w:cstheme="minorHAnsi"/>
          <w:b/>
          <w:noProof/>
        </w:rPr>
      </w:pPr>
      <w:r w:rsidRPr="001564CC">
        <w:rPr>
          <w:rFonts w:eastAsia="Batang" w:cstheme="minorHAnsi"/>
          <w:b/>
          <w:noProof/>
        </w:rPr>
        <w:t>James D. Gorham, MD PhD</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Chief, Division of Laboratory Medicine</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Medical Director, Blood Bank and Transfusion Medicine Services</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Professor, Department of Pathology</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University of Virginia Health System</w:t>
      </w:r>
    </w:p>
    <w:p w:rsidR="00794BEF" w:rsidRPr="001564CC" w:rsidRDefault="0076757E" w:rsidP="00217672">
      <w:pPr>
        <w:spacing w:line="240" w:lineRule="auto"/>
        <w:jc w:val="both"/>
        <w:rPr>
          <w:rFonts w:cstheme="minorHAnsi"/>
        </w:rPr>
      </w:pPr>
      <w:hyperlink r:id="rId9" w:history="1">
        <w:r w:rsidR="00794BEF" w:rsidRPr="001564CC">
          <w:rPr>
            <w:rStyle w:val="Hyperlink"/>
            <w:rFonts w:cstheme="minorHAnsi"/>
          </w:rPr>
          <w:t>Jdg8z@Virginia.edu</w:t>
        </w:r>
      </w:hyperlink>
    </w:p>
    <w:p w:rsidR="007963CA" w:rsidRPr="001564CC" w:rsidRDefault="007963CA" w:rsidP="00217672">
      <w:pPr>
        <w:spacing w:after="0" w:line="240" w:lineRule="auto"/>
        <w:jc w:val="both"/>
        <w:rPr>
          <w:rFonts w:eastAsia="Batang" w:cstheme="minorHAnsi"/>
          <w:b/>
          <w:noProof/>
        </w:rPr>
      </w:pPr>
      <w:r w:rsidRPr="001564CC">
        <w:rPr>
          <w:rFonts w:eastAsia="Batang" w:cstheme="minorHAnsi"/>
          <w:b/>
          <w:noProof/>
        </w:rPr>
        <w:t>Thomas Brady MT(ASCP) SBB</w:t>
      </w:r>
    </w:p>
    <w:p w:rsidR="007963CA" w:rsidRPr="001564CC" w:rsidRDefault="007963CA" w:rsidP="00217672">
      <w:pPr>
        <w:spacing w:after="0" w:line="240" w:lineRule="auto"/>
        <w:jc w:val="both"/>
        <w:rPr>
          <w:rFonts w:eastAsia="Batang" w:cstheme="minorHAnsi"/>
          <w:noProof/>
        </w:rPr>
      </w:pPr>
      <w:r w:rsidRPr="001564CC">
        <w:rPr>
          <w:rFonts w:eastAsia="Batang" w:cstheme="minorHAnsi"/>
          <w:noProof/>
        </w:rPr>
        <w:t>Blood Bank and Cytotherapy Manager</w:t>
      </w:r>
    </w:p>
    <w:p w:rsidR="007963CA" w:rsidRPr="001564CC" w:rsidRDefault="007963CA" w:rsidP="00217672">
      <w:pPr>
        <w:spacing w:after="0" w:line="240" w:lineRule="auto"/>
        <w:jc w:val="both"/>
        <w:rPr>
          <w:rFonts w:eastAsia="Batang" w:cstheme="minorHAnsi"/>
          <w:noProof/>
        </w:rPr>
      </w:pPr>
      <w:r w:rsidRPr="001564CC">
        <w:rPr>
          <w:rFonts w:eastAsia="Batang" w:cstheme="minorHAnsi"/>
          <w:noProof/>
        </w:rPr>
        <w:t>Blood Bank and Transfusion Services</w:t>
      </w:r>
    </w:p>
    <w:p w:rsidR="007963CA" w:rsidRPr="001564CC" w:rsidRDefault="007963CA" w:rsidP="00217672">
      <w:pPr>
        <w:spacing w:after="0" w:line="240" w:lineRule="auto"/>
        <w:jc w:val="both"/>
        <w:rPr>
          <w:rFonts w:eastAsia="Batang" w:cstheme="minorHAnsi"/>
          <w:noProof/>
        </w:rPr>
      </w:pPr>
      <w:r w:rsidRPr="001564CC">
        <w:rPr>
          <w:rFonts w:eastAsia="Batang" w:cstheme="minorHAnsi"/>
          <w:noProof/>
        </w:rPr>
        <w:t>University of Virginia Health System</w:t>
      </w:r>
    </w:p>
    <w:p w:rsidR="007963CA" w:rsidRPr="001564CC" w:rsidRDefault="0076757E" w:rsidP="00217672">
      <w:pPr>
        <w:spacing w:after="0" w:line="240" w:lineRule="auto"/>
        <w:jc w:val="both"/>
        <w:rPr>
          <w:rFonts w:eastAsia="Batang" w:cstheme="minorHAnsi"/>
          <w:noProof/>
        </w:rPr>
      </w:pPr>
      <w:hyperlink r:id="rId10" w:history="1">
        <w:r w:rsidR="007963CA" w:rsidRPr="001564CC">
          <w:rPr>
            <w:rStyle w:val="Hyperlink"/>
            <w:rFonts w:eastAsia="Batang" w:cstheme="minorHAnsi"/>
            <w:noProof/>
          </w:rPr>
          <w:t>TWB7P@virginia.edu</w:t>
        </w:r>
      </w:hyperlink>
    </w:p>
    <w:p w:rsidR="007963CA" w:rsidRPr="001564CC" w:rsidRDefault="007963CA" w:rsidP="00217672">
      <w:pPr>
        <w:spacing w:after="0" w:line="240" w:lineRule="auto"/>
        <w:jc w:val="both"/>
        <w:rPr>
          <w:rFonts w:eastAsia="Batang" w:cstheme="minorHAnsi"/>
          <w:noProof/>
        </w:rPr>
      </w:pPr>
    </w:p>
    <w:p w:rsidR="00794BEF" w:rsidRPr="001564CC" w:rsidRDefault="00794BEF" w:rsidP="00217672">
      <w:pPr>
        <w:spacing w:after="0" w:line="240" w:lineRule="auto"/>
        <w:jc w:val="both"/>
        <w:rPr>
          <w:rFonts w:eastAsia="Batang" w:cstheme="minorHAnsi"/>
          <w:b/>
          <w:noProof/>
        </w:rPr>
      </w:pPr>
      <w:r w:rsidRPr="001564CC">
        <w:rPr>
          <w:rFonts w:eastAsia="Batang" w:cstheme="minorHAnsi"/>
          <w:b/>
          <w:noProof/>
        </w:rPr>
        <w:t>Theresa Libby RN BSN TSO</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Transfusion Safety Officer</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Blood Bank and Transfusion Services</w:t>
      </w:r>
    </w:p>
    <w:p w:rsidR="00794BEF" w:rsidRPr="001564CC" w:rsidRDefault="00794BEF" w:rsidP="00217672">
      <w:pPr>
        <w:spacing w:after="0" w:line="240" w:lineRule="auto"/>
        <w:jc w:val="both"/>
        <w:rPr>
          <w:rFonts w:eastAsia="Batang" w:cstheme="minorHAnsi"/>
          <w:noProof/>
        </w:rPr>
      </w:pPr>
      <w:r w:rsidRPr="001564CC">
        <w:rPr>
          <w:rFonts w:eastAsia="Batang" w:cstheme="minorHAnsi"/>
          <w:noProof/>
        </w:rPr>
        <w:t>University of Virginia Health System</w:t>
      </w:r>
    </w:p>
    <w:p w:rsidR="00CE0154" w:rsidRDefault="0076757E" w:rsidP="00217672">
      <w:pPr>
        <w:spacing w:after="0" w:line="240" w:lineRule="auto"/>
        <w:jc w:val="both"/>
        <w:rPr>
          <w:rStyle w:val="Hyperlink"/>
          <w:rFonts w:eastAsia="Batang" w:cstheme="minorHAnsi"/>
          <w:noProof/>
        </w:rPr>
      </w:pPr>
      <w:hyperlink r:id="rId11" w:history="1">
        <w:r w:rsidR="00794BEF" w:rsidRPr="001564CC">
          <w:rPr>
            <w:rStyle w:val="Hyperlink"/>
            <w:rFonts w:eastAsia="Batang" w:cstheme="minorHAnsi"/>
            <w:noProof/>
          </w:rPr>
          <w:t>Tal2g@virginia.edu</w:t>
        </w:r>
      </w:hyperlink>
    </w:p>
    <w:p w:rsidR="00CE0154" w:rsidRDefault="00CE0154" w:rsidP="00217672">
      <w:pPr>
        <w:spacing w:line="240" w:lineRule="auto"/>
        <w:rPr>
          <w:rStyle w:val="Hyperlink"/>
          <w:rFonts w:eastAsia="Batang" w:cstheme="minorHAnsi"/>
          <w:noProof/>
        </w:rPr>
      </w:pPr>
      <w:r>
        <w:rPr>
          <w:rStyle w:val="Hyperlink"/>
          <w:rFonts w:eastAsia="Batang" w:cstheme="minorHAnsi"/>
          <w:noProof/>
        </w:rPr>
        <w:br w:type="page"/>
      </w:r>
    </w:p>
    <w:p w:rsidR="00CE0154" w:rsidRPr="00CE0154" w:rsidRDefault="00CE0154" w:rsidP="00217672">
      <w:pPr>
        <w:spacing w:line="240" w:lineRule="auto"/>
        <w:jc w:val="center"/>
        <w:rPr>
          <w:b/>
        </w:rPr>
      </w:pPr>
      <w:r w:rsidRPr="00CE0154">
        <w:rPr>
          <w:b/>
        </w:rPr>
        <w:lastRenderedPageBreak/>
        <w:t>Critical Value for PTT</w:t>
      </w:r>
    </w:p>
    <w:p w:rsidR="00CE0154" w:rsidRDefault="00CE0154" w:rsidP="00217672">
      <w:pPr>
        <w:spacing w:line="240" w:lineRule="auto"/>
      </w:pPr>
      <w:r>
        <w:t>Effective Thursday, May 10</w:t>
      </w:r>
      <w:r w:rsidRPr="009F03CA">
        <w:rPr>
          <w:vertAlign w:val="superscript"/>
        </w:rPr>
        <w:t>th</w:t>
      </w:r>
      <w:r>
        <w:t>, the critical value for PTTs and Heparin removed PTTs (post heparin removal) will change from &gt;60.0 seconds to &gt;100.0 seconds.</w:t>
      </w:r>
    </w:p>
    <w:p w:rsidR="00CE0154" w:rsidRDefault="00CE0154" w:rsidP="00217672">
      <w:pPr>
        <w:spacing w:line="240" w:lineRule="auto"/>
      </w:pPr>
    </w:p>
    <w:p w:rsidR="00CE0154" w:rsidRPr="00CE0154" w:rsidRDefault="00CE0154" w:rsidP="00217672">
      <w:pPr>
        <w:spacing w:line="240" w:lineRule="auto"/>
        <w:jc w:val="center"/>
        <w:rPr>
          <w:b/>
        </w:rPr>
      </w:pPr>
      <w:r w:rsidRPr="00CE0154">
        <w:rPr>
          <w:b/>
        </w:rPr>
        <w:t>Lupus Anticoagulant Panel</w:t>
      </w:r>
    </w:p>
    <w:p w:rsidR="00CE0154" w:rsidRDefault="00CE0154" w:rsidP="00217672">
      <w:pPr>
        <w:spacing w:line="240" w:lineRule="auto"/>
      </w:pPr>
      <w:r>
        <w:t>The STACLOT test will no longer be performed.  Recommendations require only two tests for evaluation of the presence of a Lupus Anticoagulant.</w:t>
      </w:r>
    </w:p>
    <w:p w:rsidR="00CE0154" w:rsidRDefault="00CE0154" w:rsidP="00217672">
      <w:pPr>
        <w:spacing w:line="240" w:lineRule="auto"/>
      </w:pPr>
      <w:r>
        <w:t>When the Lupus Anticoagulant Panel is ordered the Dilute Russell Viper Venom Time and Silica Clot Time will be performed.</w:t>
      </w:r>
    </w:p>
    <w:p w:rsidR="008241C6" w:rsidRDefault="008241C6" w:rsidP="00217672">
      <w:pPr>
        <w:pStyle w:val="PlainText"/>
      </w:pPr>
    </w:p>
    <w:p w:rsidR="00415EB4" w:rsidRPr="008241C6" w:rsidRDefault="00415EB4" w:rsidP="00217672">
      <w:pPr>
        <w:pStyle w:val="PlainText"/>
        <w:jc w:val="center"/>
        <w:rPr>
          <w:b/>
        </w:rPr>
      </w:pPr>
      <w:r w:rsidRPr="008241C6">
        <w:rPr>
          <w:b/>
        </w:rPr>
        <w:t>Discontinuation of Quantitative Endotracheal Cultures</w:t>
      </w:r>
    </w:p>
    <w:p w:rsidR="00415EB4" w:rsidRDefault="00415EB4" w:rsidP="00217672">
      <w:pPr>
        <w:pStyle w:val="PlainText"/>
      </w:pPr>
    </w:p>
    <w:p w:rsidR="00415EB4" w:rsidRDefault="00415EB4" w:rsidP="00217672">
      <w:pPr>
        <w:pStyle w:val="PlainText"/>
      </w:pPr>
      <w:r>
        <w:t>In order to remain consistent with current IDSA guidelines for management of hospital-acquired and ventilator-associated pneumonia (HAP, VAP), the Clinical Microbiology Laboratory will discontinue the use of quantitative endotracheal cultures (QEC).  These cultures have been shown to offer no additional information beyond standard semi-quantitative respiratory cultures.  Instead, please order routine Bacterial, Fungal or Mycobacterial cultures as appropriate.  Questions may be directed to the Clinical Microbiology Director on call at PIC 1221.</w:t>
      </w:r>
    </w:p>
    <w:p w:rsidR="00415EB4" w:rsidRDefault="00415EB4" w:rsidP="00217672">
      <w:pPr>
        <w:pStyle w:val="PlainText"/>
      </w:pPr>
    </w:p>
    <w:p w:rsidR="00415EB4" w:rsidRDefault="00415EB4" w:rsidP="00217672">
      <w:pPr>
        <w:pStyle w:val="PlainText"/>
      </w:pPr>
      <w:r>
        <w:t>UVA-specific guidelines for management of HAP and VAP can be found at:</w:t>
      </w:r>
    </w:p>
    <w:p w:rsidR="00415EB4" w:rsidRDefault="0076757E" w:rsidP="00217672">
      <w:pPr>
        <w:pStyle w:val="PlainText"/>
      </w:pPr>
      <w:hyperlink r:id="rId12" w:history="1">
        <w:r w:rsidR="00415EB4">
          <w:rPr>
            <w:rStyle w:val="Hyperlink"/>
          </w:rPr>
          <w:t>http://www.healthsystem.virginia.edu/docs/manuals/guidelines/cpgguidelines/02-clinical-practice-guidelines/hap-vap-guideline</w:t>
        </w:r>
      </w:hyperlink>
    </w:p>
    <w:p w:rsidR="00415EB4" w:rsidRDefault="00415EB4" w:rsidP="00217672">
      <w:pPr>
        <w:pStyle w:val="PlainText"/>
      </w:pPr>
    </w:p>
    <w:p w:rsidR="00415EB4" w:rsidRDefault="00415EB4" w:rsidP="00217672">
      <w:pPr>
        <w:pStyle w:val="PlainText"/>
      </w:pPr>
      <w:r>
        <w:t>IDSA guidelines for management of HAP and VAP can be found at:</w:t>
      </w:r>
    </w:p>
    <w:p w:rsidR="00415EB4" w:rsidRDefault="0076757E" w:rsidP="00217672">
      <w:pPr>
        <w:pStyle w:val="PlainText"/>
      </w:pPr>
      <w:hyperlink r:id="rId13" w:history="1">
        <w:r w:rsidR="00415EB4">
          <w:rPr>
            <w:rStyle w:val="Hyperlink"/>
          </w:rPr>
          <w:t>http://www.idsociety.org/Guidelines/Patient_Care/IDSA_Practice_Guidelines/Infections_by_Organ_System/Lower/Upper_Respiratory/Hospital-Acquired___Ventilator_-_Associated_Pneumonia_(HAP/VAP)/</w:t>
        </w:r>
      </w:hyperlink>
    </w:p>
    <w:p w:rsidR="00415EB4" w:rsidRDefault="00415EB4" w:rsidP="00217672">
      <w:pPr>
        <w:pStyle w:val="PlainText"/>
      </w:pPr>
    </w:p>
    <w:p w:rsidR="00415EB4" w:rsidRDefault="00415EB4" w:rsidP="00217672">
      <w:pPr>
        <w:pStyle w:val="PlainText"/>
      </w:pPr>
    </w:p>
    <w:p w:rsidR="00415EB4" w:rsidRPr="008241C6" w:rsidRDefault="00415EB4" w:rsidP="00217672">
      <w:pPr>
        <w:pStyle w:val="PlainText"/>
        <w:jc w:val="center"/>
        <w:rPr>
          <w:b/>
        </w:rPr>
      </w:pPr>
      <w:r w:rsidRPr="008241C6">
        <w:rPr>
          <w:b/>
        </w:rPr>
        <w:t>Changes in Antimicrobial Susceptibility Testing</w:t>
      </w:r>
    </w:p>
    <w:p w:rsidR="00415EB4" w:rsidRDefault="00415EB4" w:rsidP="00217672">
      <w:pPr>
        <w:pStyle w:val="PlainText"/>
      </w:pPr>
    </w:p>
    <w:p w:rsidR="00415EB4" w:rsidRDefault="00415EB4" w:rsidP="00217672">
      <w:pPr>
        <w:pStyle w:val="PlainText"/>
      </w:pPr>
      <w:r>
        <w:t>In order to improve the turnaround time for organism identification and antimicrobial susceptibility of Gram negative bacteremia, the Clinical Microbiology Laboratory has adopted several new testing methods, and implemented changes:</w:t>
      </w:r>
    </w:p>
    <w:p w:rsidR="00415EB4" w:rsidRDefault="00415EB4" w:rsidP="00217672">
      <w:pPr>
        <w:pStyle w:val="PlainText"/>
        <w:numPr>
          <w:ilvl w:val="0"/>
          <w:numId w:val="3"/>
        </w:numPr>
      </w:pPr>
      <w:r>
        <w:t>You may note that many susceptibility results are available more quickly for Gram negative organisms isolated from blood, often within 10 hours of the initial Gram stain.</w:t>
      </w:r>
    </w:p>
    <w:p w:rsidR="00415EB4" w:rsidRDefault="00415EB4" w:rsidP="00217672">
      <w:pPr>
        <w:pStyle w:val="PlainText"/>
        <w:numPr>
          <w:ilvl w:val="0"/>
          <w:numId w:val="3"/>
        </w:numPr>
      </w:pPr>
      <w:r>
        <w:t>In conjunction with the change in blood culture processing, we will modify testing for Gram negative bacteria identified in urine by reporting results for an oral cephalosporin rather than cefazolin.</w:t>
      </w:r>
    </w:p>
    <w:p w:rsidR="00415EB4" w:rsidRDefault="00415EB4" w:rsidP="00217672">
      <w:pPr>
        <w:pStyle w:val="PlainText"/>
      </w:pPr>
    </w:p>
    <w:p w:rsidR="00415EB4" w:rsidRDefault="00415EB4" w:rsidP="00217672">
      <w:pPr>
        <w:pStyle w:val="PlainText"/>
      </w:pPr>
      <w:r>
        <w:t>All of these changes are being implemented in collaboration with the Antimicrobial Stewardship Team and questions or issues about the interpretation of results should be directed to the antimicrobial stewardship pager (PIC 1337).</w:t>
      </w:r>
    </w:p>
    <w:p w:rsidR="00415EB4" w:rsidRDefault="00415EB4" w:rsidP="00217672">
      <w:pPr>
        <w:pStyle w:val="PlainText"/>
      </w:pPr>
    </w:p>
    <w:p w:rsidR="00415EB4" w:rsidRDefault="00415EB4" w:rsidP="00217672">
      <w:pPr>
        <w:pStyle w:val="PlainText"/>
      </w:pPr>
    </w:p>
    <w:p w:rsidR="00415EB4" w:rsidRDefault="00415EB4" w:rsidP="00217672">
      <w:pPr>
        <w:pStyle w:val="PlainText"/>
      </w:pPr>
    </w:p>
    <w:p w:rsidR="00415EB4" w:rsidRPr="008241C6" w:rsidRDefault="00415EB4" w:rsidP="00217672">
      <w:pPr>
        <w:pStyle w:val="PlainText"/>
        <w:jc w:val="center"/>
        <w:rPr>
          <w:b/>
        </w:rPr>
      </w:pPr>
      <w:r w:rsidRPr="008241C6">
        <w:rPr>
          <w:b/>
        </w:rPr>
        <w:t>New PCR tests for the detection of HSV, VZV, and CMV</w:t>
      </w:r>
    </w:p>
    <w:p w:rsidR="00415EB4" w:rsidRDefault="00415EB4" w:rsidP="00217672">
      <w:pPr>
        <w:pStyle w:val="PlainText"/>
      </w:pPr>
    </w:p>
    <w:p w:rsidR="00415EB4" w:rsidRDefault="00415EB4" w:rsidP="00217672">
      <w:pPr>
        <w:pStyle w:val="PlainText"/>
      </w:pPr>
      <w:r>
        <w:t>Beginning June 5th, PCR will replace viral culture for the detection of HSV, VZV, and CMV for all clinical sample types.  The following sample types will be performed once daily, including weekends:</w:t>
      </w:r>
    </w:p>
    <w:p w:rsidR="00415EB4" w:rsidRDefault="00415EB4" w:rsidP="00217672">
      <w:pPr>
        <w:pStyle w:val="PlainText"/>
      </w:pPr>
    </w:p>
    <w:p w:rsidR="00415EB4" w:rsidRDefault="00415EB4" w:rsidP="00217672">
      <w:pPr>
        <w:pStyle w:val="PlainText"/>
        <w:numPr>
          <w:ilvl w:val="0"/>
          <w:numId w:val="6"/>
        </w:numPr>
      </w:pPr>
      <w:r>
        <w:t>HSV PCR: Cutaneous (swabs), Mucocutaneous (swabs), Brochoalveolar Lavage and Wash, Tissue, and CSF</w:t>
      </w:r>
    </w:p>
    <w:p w:rsidR="00415EB4" w:rsidRDefault="00415EB4" w:rsidP="00217672">
      <w:pPr>
        <w:pStyle w:val="PlainText"/>
        <w:numPr>
          <w:ilvl w:val="0"/>
          <w:numId w:val="6"/>
        </w:numPr>
      </w:pPr>
      <w:r>
        <w:t>VZV PCR:  Cutaneous (swabs) and Mucocutaneous (swabs)</w:t>
      </w:r>
    </w:p>
    <w:p w:rsidR="00415EB4" w:rsidRDefault="00415EB4" w:rsidP="00217672">
      <w:pPr>
        <w:pStyle w:val="PlainText"/>
        <w:numPr>
          <w:ilvl w:val="0"/>
          <w:numId w:val="6"/>
        </w:numPr>
      </w:pPr>
      <w:r>
        <w:t>CMV PCR: Brochoalveolar Lavage and Wash, and Urine</w:t>
      </w:r>
    </w:p>
    <w:p w:rsidR="00415EB4" w:rsidRDefault="00415EB4" w:rsidP="00217672">
      <w:pPr>
        <w:pStyle w:val="PlainText"/>
      </w:pPr>
    </w:p>
    <w:p w:rsidR="00415EB4" w:rsidRDefault="00415EB4" w:rsidP="00217672">
      <w:pPr>
        <w:pStyle w:val="PlainText"/>
      </w:pPr>
      <w:r>
        <w:t>Samples not listed (i.e. CSF for VZV or CMV by PCR) will remain a send-out test, performed at our reference laboratory.  Quantitative CMV remains available in house for testing on plasma.</w:t>
      </w:r>
    </w:p>
    <w:p w:rsidR="00415EB4" w:rsidRDefault="00415EB4" w:rsidP="00217672">
      <w:pPr>
        <w:pStyle w:val="PlainText"/>
      </w:pPr>
    </w:p>
    <w:p w:rsidR="00295C37" w:rsidRDefault="00415EB4" w:rsidP="00217672">
      <w:pPr>
        <w:pStyle w:val="PlainText"/>
      </w:pPr>
      <w:r>
        <w:t>Adenovirus cultures performed in house will be discontinued as well, with PCR available as a send-out test to our reference laboratory</w:t>
      </w:r>
      <w:r w:rsidR="00141713">
        <w:t xml:space="preserve"> as a Miscellaneous Non-Genetic Send Out test</w:t>
      </w:r>
      <w:r>
        <w:t xml:space="preserve">.  </w:t>
      </w:r>
      <w:r w:rsidR="00295C37">
        <w:t>Updates will be sent when these tests become orderable in Epic.</w:t>
      </w:r>
    </w:p>
    <w:p w:rsidR="00295C37" w:rsidRDefault="00295C37" w:rsidP="00217672">
      <w:pPr>
        <w:pStyle w:val="PlainText"/>
      </w:pPr>
    </w:p>
    <w:p w:rsidR="00415EB4" w:rsidRDefault="00415EB4" w:rsidP="00217672">
      <w:pPr>
        <w:pStyle w:val="PlainText"/>
      </w:pPr>
      <w:r>
        <w:t>The available tests for Adenovirus detection are as follows:</w:t>
      </w:r>
    </w:p>
    <w:p w:rsidR="00415EB4" w:rsidRDefault="00415EB4" w:rsidP="00217672">
      <w:pPr>
        <w:pStyle w:val="PlainText"/>
      </w:pPr>
    </w:p>
    <w:p w:rsidR="00415EB4" w:rsidRDefault="00415EB4" w:rsidP="00217672">
      <w:pPr>
        <w:pStyle w:val="PlainText"/>
        <w:numPr>
          <w:ilvl w:val="0"/>
          <w:numId w:val="7"/>
        </w:numPr>
      </w:pPr>
      <w:r>
        <w:t>LADV - Adenovirus, Molecular Detection, PCR</w:t>
      </w:r>
      <w:r w:rsidR="00732196">
        <w:t xml:space="preserve"> </w:t>
      </w:r>
      <w:r>
        <w:t>&lt;</w:t>
      </w:r>
      <w:hyperlink r:id="rId14" w:history="1">
        <w:r>
          <w:rPr>
            <w:rStyle w:val="Hyperlink"/>
          </w:rPr>
          <w:t>https://www.mayomedicallaboratories.com/test-catalog/Overview/89074</w:t>
        </w:r>
      </w:hyperlink>
      <w:r>
        <w:t>&gt;</w:t>
      </w:r>
    </w:p>
    <w:p w:rsidR="00732196" w:rsidRDefault="00415EB4" w:rsidP="00217672">
      <w:pPr>
        <w:pStyle w:val="PlainText"/>
        <w:numPr>
          <w:ilvl w:val="0"/>
          <w:numId w:val="7"/>
        </w:numPr>
      </w:pPr>
      <w:r>
        <w:t>LCADP - Adenovirus, Molecular Detection, PCR, Plasma</w:t>
      </w:r>
    </w:p>
    <w:p w:rsidR="00415EB4" w:rsidRDefault="00415EB4" w:rsidP="00732196">
      <w:pPr>
        <w:pStyle w:val="PlainText"/>
        <w:ind w:left="720"/>
      </w:pPr>
      <w:r>
        <w:t>&lt;</w:t>
      </w:r>
      <w:hyperlink r:id="rId15" w:history="1">
        <w:r>
          <w:rPr>
            <w:rStyle w:val="Hyperlink"/>
          </w:rPr>
          <w:t>https://www.mayomedicallaboratories.com/test-catalog/Overview/89887</w:t>
        </w:r>
      </w:hyperlink>
      <w:r>
        <w:t>&gt;</w:t>
      </w:r>
    </w:p>
    <w:p w:rsidR="00415EB4" w:rsidRDefault="00415EB4" w:rsidP="00217672">
      <w:pPr>
        <w:pStyle w:val="PlainText"/>
        <w:numPr>
          <w:ilvl w:val="0"/>
          <w:numId w:val="7"/>
        </w:numPr>
      </w:pPr>
      <w:r>
        <w:t>FADE - Adenovirus DNA, Quantitative Real-Time PCR</w:t>
      </w:r>
      <w:r w:rsidR="00732196">
        <w:t xml:space="preserve"> </w:t>
      </w:r>
      <w:r>
        <w:t>&lt;</w:t>
      </w:r>
      <w:hyperlink r:id="rId16" w:history="1">
        <w:r>
          <w:rPr>
            <w:rStyle w:val="Hyperlink"/>
          </w:rPr>
          <w:t>https://www.mayomedicallaboratories.com/test-catalog/Overview/91670</w:t>
        </w:r>
      </w:hyperlink>
      <w:r>
        <w:t>&gt;</w:t>
      </w:r>
    </w:p>
    <w:p w:rsidR="00415EB4" w:rsidRDefault="00415EB4" w:rsidP="00217672">
      <w:pPr>
        <w:pStyle w:val="PlainText"/>
      </w:pPr>
    </w:p>
    <w:p w:rsidR="00415EB4" w:rsidRDefault="00415EB4" w:rsidP="00217672">
      <w:pPr>
        <w:pStyle w:val="PlainText"/>
      </w:pPr>
      <w:r>
        <w:t>These changes are expected to provide increased sensitivity and improved turnaround times. Viral culture can be arranged with Clinical Microbiology Director approval.  Questions regarding any of the above tests, including needs for viral culture, should be directed to the Clinical Microbiology Director on call at PIC 1221.​</w:t>
      </w:r>
    </w:p>
    <w:p w:rsidR="00415EB4" w:rsidRDefault="00415EB4" w:rsidP="00217672">
      <w:pPr>
        <w:pStyle w:val="PlainText"/>
      </w:pPr>
    </w:p>
    <w:p w:rsidR="00415EB4" w:rsidRDefault="00415EB4" w:rsidP="00217672">
      <w:pPr>
        <w:pStyle w:val="PlainText"/>
      </w:pPr>
    </w:p>
    <w:p w:rsidR="00794BEF" w:rsidRPr="001564CC" w:rsidRDefault="00794BEF" w:rsidP="00217672">
      <w:pPr>
        <w:spacing w:after="0" w:line="240" w:lineRule="auto"/>
        <w:jc w:val="both"/>
        <w:rPr>
          <w:rFonts w:eastAsia="Batang" w:cstheme="minorHAnsi"/>
          <w:noProof/>
        </w:rPr>
      </w:pPr>
    </w:p>
    <w:sectPr w:rsidR="00794BEF" w:rsidRPr="001564CC" w:rsidSect="001564CC">
      <w:footerReference w:type="default" r:id="rId17"/>
      <w:pgSz w:w="12240" w:h="15840"/>
      <w:pgMar w:top="1440" w:right="1440" w:bottom="117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0A5A" w:rsidRDefault="00BC0A5A" w:rsidP="007963CA">
      <w:pPr>
        <w:spacing w:after="0" w:line="240" w:lineRule="auto"/>
      </w:pPr>
      <w:r>
        <w:separator/>
      </w:r>
    </w:p>
  </w:endnote>
  <w:endnote w:type="continuationSeparator" w:id="0">
    <w:p w:rsidR="00BC0A5A" w:rsidRDefault="00BC0A5A" w:rsidP="007963C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64CC" w:rsidRPr="001564CC" w:rsidRDefault="001564CC" w:rsidP="001564CC">
    <w:pPr>
      <w:pStyle w:val="Footer"/>
      <w:jc w:val="center"/>
      <w:rPr>
        <w:sz w:val="20"/>
        <w:szCs w:val="20"/>
      </w:rPr>
    </w:pPr>
    <w:r w:rsidRPr="001564CC">
      <w:rPr>
        <w:sz w:val="20"/>
        <w:szCs w:val="20"/>
      </w:rPr>
      <w:t xml:space="preserve">Page </w:t>
    </w:r>
    <w:r w:rsidRPr="001564CC">
      <w:rPr>
        <w:b/>
        <w:bCs/>
        <w:sz w:val="20"/>
        <w:szCs w:val="20"/>
      </w:rPr>
      <w:fldChar w:fldCharType="begin"/>
    </w:r>
    <w:r w:rsidRPr="001564CC">
      <w:rPr>
        <w:b/>
        <w:bCs/>
        <w:sz w:val="20"/>
        <w:szCs w:val="20"/>
      </w:rPr>
      <w:instrText xml:space="preserve"> PAGE  \* Arabic  \* MERGEFORMAT </w:instrText>
    </w:r>
    <w:r w:rsidRPr="001564CC">
      <w:rPr>
        <w:b/>
        <w:bCs/>
        <w:sz w:val="20"/>
        <w:szCs w:val="20"/>
      </w:rPr>
      <w:fldChar w:fldCharType="separate"/>
    </w:r>
    <w:r w:rsidR="0076757E">
      <w:rPr>
        <w:b/>
        <w:bCs/>
        <w:noProof/>
        <w:sz w:val="20"/>
        <w:szCs w:val="20"/>
      </w:rPr>
      <w:t>1</w:t>
    </w:r>
    <w:r w:rsidRPr="001564CC">
      <w:rPr>
        <w:b/>
        <w:bCs/>
        <w:sz w:val="20"/>
        <w:szCs w:val="20"/>
      </w:rPr>
      <w:fldChar w:fldCharType="end"/>
    </w:r>
    <w:r w:rsidRPr="001564CC">
      <w:rPr>
        <w:sz w:val="20"/>
        <w:szCs w:val="20"/>
      </w:rPr>
      <w:t xml:space="preserve"> of </w:t>
    </w:r>
    <w:r w:rsidRPr="001564CC">
      <w:rPr>
        <w:b/>
        <w:bCs/>
        <w:sz w:val="20"/>
        <w:szCs w:val="20"/>
      </w:rPr>
      <w:fldChar w:fldCharType="begin"/>
    </w:r>
    <w:r w:rsidRPr="001564CC">
      <w:rPr>
        <w:b/>
        <w:bCs/>
        <w:sz w:val="20"/>
        <w:szCs w:val="20"/>
      </w:rPr>
      <w:instrText xml:space="preserve"> NUMPAGES  \* Arabic  \* MERGEFORMAT </w:instrText>
    </w:r>
    <w:r w:rsidRPr="001564CC">
      <w:rPr>
        <w:b/>
        <w:bCs/>
        <w:sz w:val="20"/>
        <w:szCs w:val="20"/>
      </w:rPr>
      <w:fldChar w:fldCharType="separate"/>
    </w:r>
    <w:r w:rsidR="0076757E">
      <w:rPr>
        <w:b/>
        <w:bCs/>
        <w:noProof/>
        <w:sz w:val="20"/>
        <w:szCs w:val="20"/>
      </w:rPr>
      <w:t>4</w:t>
    </w:r>
    <w:r w:rsidRPr="001564CC">
      <w:rPr>
        <w:b/>
        <w:bCs/>
        <w:sz w:val="20"/>
        <w:szCs w:val="20"/>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0A5A" w:rsidRDefault="00BC0A5A" w:rsidP="007963CA">
      <w:pPr>
        <w:spacing w:after="0" w:line="240" w:lineRule="auto"/>
      </w:pPr>
      <w:r>
        <w:separator/>
      </w:r>
    </w:p>
  </w:footnote>
  <w:footnote w:type="continuationSeparator" w:id="0">
    <w:p w:rsidR="00BC0A5A" w:rsidRDefault="00BC0A5A" w:rsidP="007963CA">
      <w:pPr>
        <w:spacing w:after="0" w:line="240" w:lineRule="auto"/>
      </w:pPr>
      <w:r>
        <w:continuationSeparator/>
      </w:r>
    </w:p>
  </w:footnote>
  <w:footnote w:id="1">
    <w:p w:rsidR="007963CA" w:rsidRPr="007963CA" w:rsidRDefault="007963CA" w:rsidP="007963CA">
      <w:pPr>
        <w:spacing w:after="0" w:line="240" w:lineRule="auto"/>
        <w:jc w:val="both"/>
        <w:rPr>
          <w:rFonts w:ascii="Arial" w:eastAsia="Batang" w:hAnsi="Arial" w:cs="Arial"/>
          <w:noProof/>
          <w:sz w:val="18"/>
          <w:szCs w:val="18"/>
        </w:rPr>
      </w:pPr>
      <w:r w:rsidRPr="007963CA">
        <w:rPr>
          <w:rStyle w:val="FootnoteReference"/>
          <w:sz w:val="18"/>
          <w:szCs w:val="18"/>
        </w:rPr>
        <w:footnoteRef/>
      </w:r>
      <w:r w:rsidRPr="007963CA">
        <w:rPr>
          <w:sz w:val="18"/>
          <w:szCs w:val="18"/>
        </w:rPr>
        <w:t xml:space="preserve"> </w:t>
      </w:r>
      <w:r w:rsidRPr="007963CA">
        <w:rPr>
          <w:rFonts w:ascii="Arial" w:eastAsia="Batang" w:hAnsi="Arial" w:cs="Arial"/>
          <w:noProof/>
          <w:sz w:val="18"/>
          <w:szCs w:val="18"/>
        </w:rPr>
        <w:t xml:space="preserve">Benjamin RJ et al. Hemovigilance monitoring of platelet septic reactions with effective bacterial protection systems. 2017. </w:t>
      </w:r>
      <w:r w:rsidRPr="007963CA">
        <w:rPr>
          <w:rFonts w:ascii="Arial" w:eastAsia="Batang" w:hAnsi="Arial" w:cs="Arial"/>
          <w:i/>
          <w:noProof/>
          <w:sz w:val="18"/>
          <w:szCs w:val="18"/>
        </w:rPr>
        <w:t>Transfusion</w:t>
      </w:r>
      <w:r w:rsidRPr="007963CA">
        <w:rPr>
          <w:rFonts w:ascii="Arial" w:eastAsia="Batang" w:hAnsi="Arial" w:cs="Arial"/>
          <w:noProof/>
          <w:sz w:val="18"/>
          <w:szCs w:val="18"/>
        </w:rPr>
        <w:t xml:space="preserve"> 57: 2946-57. </w:t>
      </w:r>
    </w:p>
    <w:p w:rsidR="007963CA" w:rsidRDefault="007963CA">
      <w:pPr>
        <w:pStyle w:val="FootnoteText"/>
      </w:pPr>
    </w:p>
    <w:p w:rsidR="00CE0154" w:rsidRDefault="00CE0154">
      <w:pPr>
        <w:pStyle w:val="FootnoteText"/>
      </w:pP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47B61"/>
    <w:multiLevelType w:val="hybridMultilevel"/>
    <w:tmpl w:val="FF1452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25C1A25"/>
    <w:multiLevelType w:val="hybridMultilevel"/>
    <w:tmpl w:val="6CAA26C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3D3619"/>
    <w:multiLevelType w:val="hybridMultilevel"/>
    <w:tmpl w:val="C72436A0"/>
    <w:lvl w:ilvl="0" w:tplc="F44C99CC">
      <w:numFmt w:val="bullet"/>
      <w:lvlText w:val="·"/>
      <w:lvlJc w:val="left"/>
      <w:pPr>
        <w:ind w:left="765" w:hanging="405"/>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5AB6FFB"/>
    <w:multiLevelType w:val="hybridMultilevel"/>
    <w:tmpl w:val="7EEA5EC0"/>
    <w:lvl w:ilvl="0" w:tplc="F44C99CC">
      <w:numFmt w:val="bullet"/>
      <w:lvlText w:val="·"/>
      <w:lvlJc w:val="left"/>
      <w:pPr>
        <w:ind w:left="765" w:hanging="405"/>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6553124"/>
    <w:multiLevelType w:val="hybridMultilevel"/>
    <w:tmpl w:val="FB86DA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6A53B13"/>
    <w:multiLevelType w:val="hybridMultilevel"/>
    <w:tmpl w:val="E9A61632"/>
    <w:lvl w:ilvl="0" w:tplc="04090001">
      <w:start w:val="1"/>
      <w:numFmt w:val="bullet"/>
      <w:lvlText w:val=""/>
      <w:lvlJc w:val="left"/>
      <w:pPr>
        <w:ind w:left="765" w:hanging="405"/>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B8A0420"/>
    <w:multiLevelType w:val="hybridMultilevel"/>
    <w:tmpl w:val="F510E66C"/>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6"/>
  </w:num>
  <w:num w:numId="3">
    <w:abstractNumId w:val="0"/>
  </w:num>
  <w:num w:numId="4">
    <w:abstractNumId w:val="2"/>
  </w:num>
  <w:num w:numId="5">
    <w:abstractNumId w:val="3"/>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1FDE"/>
    <w:rsid w:val="000E2243"/>
    <w:rsid w:val="00141713"/>
    <w:rsid w:val="001564CC"/>
    <w:rsid w:val="00195A04"/>
    <w:rsid w:val="00203B56"/>
    <w:rsid w:val="00217672"/>
    <w:rsid w:val="002733B8"/>
    <w:rsid w:val="00295C37"/>
    <w:rsid w:val="002E2124"/>
    <w:rsid w:val="00380A69"/>
    <w:rsid w:val="00415EB4"/>
    <w:rsid w:val="0045667E"/>
    <w:rsid w:val="004F4A06"/>
    <w:rsid w:val="00590065"/>
    <w:rsid w:val="005C0D54"/>
    <w:rsid w:val="00641D58"/>
    <w:rsid w:val="0069113C"/>
    <w:rsid w:val="006A227C"/>
    <w:rsid w:val="00700BFF"/>
    <w:rsid w:val="00726650"/>
    <w:rsid w:val="00732196"/>
    <w:rsid w:val="0076757E"/>
    <w:rsid w:val="007879BA"/>
    <w:rsid w:val="00794BEF"/>
    <w:rsid w:val="007963CA"/>
    <w:rsid w:val="008241C6"/>
    <w:rsid w:val="00AA2EA1"/>
    <w:rsid w:val="00B6348D"/>
    <w:rsid w:val="00BC0A5A"/>
    <w:rsid w:val="00C16EB9"/>
    <w:rsid w:val="00C51FDE"/>
    <w:rsid w:val="00CD141D"/>
    <w:rsid w:val="00CE0154"/>
    <w:rsid w:val="00CE5630"/>
    <w:rsid w:val="00D323C8"/>
    <w:rsid w:val="00D366CE"/>
    <w:rsid w:val="00E2089F"/>
    <w:rsid w:val="00E429A6"/>
    <w:rsid w:val="00E5135D"/>
    <w:rsid w:val="00F01F8B"/>
    <w:rsid w:val="00F45403"/>
    <w:rsid w:val="00F713F2"/>
    <w:rsid w:val="00F9426E"/>
    <w:rsid w:val="00FC172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7963C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4BEF"/>
    <w:pPr>
      <w:ind w:left="720"/>
      <w:contextualSpacing/>
    </w:pPr>
  </w:style>
  <w:style w:type="character" w:styleId="Hyperlink">
    <w:name w:val="Hyperlink"/>
    <w:basedOn w:val="DefaultParagraphFont"/>
    <w:uiPriority w:val="99"/>
    <w:unhideWhenUsed/>
    <w:rsid w:val="00794BEF"/>
    <w:rPr>
      <w:color w:val="0563C1" w:themeColor="hyperlink"/>
      <w:u w:val="single"/>
    </w:rPr>
  </w:style>
  <w:style w:type="character" w:customStyle="1" w:styleId="Heading2Char">
    <w:name w:val="Heading 2 Char"/>
    <w:basedOn w:val="DefaultParagraphFont"/>
    <w:link w:val="Heading2"/>
    <w:uiPriority w:val="9"/>
    <w:rsid w:val="007963CA"/>
    <w:rPr>
      <w:rFonts w:ascii="Times New Roman" w:eastAsia="Times New Roman" w:hAnsi="Times New Roman" w:cs="Times New Roman"/>
      <w:b/>
      <w:bCs/>
      <w:sz w:val="36"/>
      <w:szCs w:val="36"/>
    </w:rPr>
  </w:style>
  <w:style w:type="character" w:customStyle="1" w:styleId="epub-state">
    <w:name w:val="epub-state"/>
    <w:basedOn w:val="DefaultParagraphFont"/>
    <w:rsid w:val="007963CA"/>
  </w:style>
  <w:style w:type="character" w:customStyle="1" w:styleId="epub-date">
    <w:name w:val="epub-date"/>
    <w:basedOn w:val="DefaultParagraphFont"/>
    <w:rsid w:val="007963CA"/>
  </w:style>
  <w:style w:type="paragraph" w:styleId="FootnoteText">
    <w:name w:val="footnote text"/>
    <w:basedOn w:val="Normal"/>
    <w:link w:val="FootnoteTextChar"/>
    <w:uiPriority w:val="99"/>
    <w:semiHidden/>
    <w:unhideWhenUsed/>
    <w:rsid w:val="007963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63CA"/>
    <w:rPr>
      <w:sz w:val="20"/>
      <w:szCs w:val="20"/>
    </w:rPr>
  </w:style>
  <w:style w:type="character" w:styleId="FootnoteReference">
    <w:name w:val="footnote reference"/>
    <w:basedOn w:val="DefaultParagraphFont"/>
    <w:uiPriority w:val="99"/>
    <w:semiHidden/>
    <w:unhideWhenUsed/>
    <w:rsid w:val="007963CA"/>
    <w:rPr>
      <w:vertAlign w:val="superscript"/>
    </w:rPr>
  </w:style>
  <w:style w:type="paragraph" w:styleId="PlainText">
    <w:name w:val="Plain Text"/>
    <w:basedOn w:val="Normal"/>
    <w:link w:val="PlainTextChar"/>
    <w:uiPriority w:val="99"/>
    <w:semiHidden/>
    <w:unhideWhenUsed/>
    <w:rsid w:val="001564CC"/>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1564CC"/>
    <w:rPr>
      <w:rFonts w:ascii="Calibri" w:hAnsi="Calibri"/>
      <w:szCs w:val="21"/>
    </w:rPr>
  </w:style>
  <w:style w:type="paragraph" w:styleId="NoSpacing">
    <w:name w:val="No Spacing"/>
    <w:uiPriority w:val="99"/>
    <w:qFormat/>
    <w:rsid w:val="001564CC"/>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1564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64CC"/>
  </w:style>
  <w:style w:type="paragraph" w:styleId="Footer">
    <w:name w:val="footer"/>
    <w:basedOn w:val="Normal"/>
    <w:link w:val="FooterChar"/>
    <w:uiPriority w:val="99"/>
    <w:unhideWhenUsed/>
    <w:rsid w:val="001564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64CC"/>
  </w:style>
  <w:style w:type="paragraph" w:styleId="BalloonText">
    <w:name w:val="Balloon Text"/>
    <w:basedOn w:val="Normal"/>
    <w:link w:val="BalloonTextChar"/>
    <w:uiPriority w:val="99"/>
    <w:semiHidden/>
    <w:unhideWhenUsed/>
    <w:rsid w:val="005900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0065"/>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2">
    <w:name w:val="heading 2"/>
    <w:basedOn w:val="Normal"/>
    <w:link w:val="Heading2Char"/>
    <w:uiPriority w:val="9"/>
    <w:qFormat/>
    <w:rsid w:val="007963CA"/>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94BEF"/>
    <w:pPr>
      <w:ind w:left="720"/>
      <w:contextualSpacing/>
    </w:pPr>
  </w:style>
  <w:style w:type="character" w:styleId="Hyperlink">
    <w:name w:val="Hyperlink"/>
    <w:basedOn w:val="DefaultParagraphFont"/>
    <w:uiPriority w:val="99"/>
    <w:unhideWhenUsed/>
    <w:rsid w:val="00794BEF"/>
    <w:rPr>
      <w:color w:val="0563C1" w:themeColor="hyperlink"/>
      <w:u w:val="single"/>
    </w:rPr>
  </w:style>
  <w:style w:type="character" w:customStyle="1" w:styleId="Heading2Char">
    <w:name w:val="Heading 2 Char"/>
    <w:basedOn w:val="DefaultParagraphFont"/>
    <w:link w:val="Heading2"/>
    <w:uiPriority w:val="9"/>
    <w:rsid w:val="007963CA"/>
    <w:rPr>
      <w:rFonts w:ascii="Times New Roman" w:eastAsia="Times New Roman" w:hAnsi="Times New Roman" w:cs="Times New Roman"/>
      <w:b/>
      <w:bCs/>
      <w:sz w:val="36"/>
      <w:szCs w:val="36"/>
    </w:rPr>
  </w:style>
  <w:style w:type="character" w:customStyle="1" w:styleId="epub-state">
    <w:name w:val="epub-state"/>
    <w:basedOn w:val="DefaultParagraphFont"/>
    <w:rsid w:val="007963CA"/>
  </w:style>
  <w:style w:type="character" w:customStyle="1" w:styleId="epub-date">
    <w:name w:val="epub-date"/>
    <w:basedOn w:val="DefaultParagraphFont"/>
    <w:rsid w:val="007963CA"/>
  </w:style>
  <w:style w:type="paragraph" w:styleId="FootnoteText">
    <w:name w:val="footnote text"/>
    <w:basedOn w:val="Normal"/>
    <w:link w:val="FootnoteTextChar"/>
    <w:uiPriority w:val="99"/>
    <w:semiHidden/>
    <w:unhideWhenUsed/>
    <w:rsid w:val="007963C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963CA"/>
    <w:rPr>
      <w:sz w:val="20"/>
      <w:szCs w:val="20"/>
    </w:rPr>
  </w:style>
  <w:style w:type="character" w:styleId="FootnoteReference">
    <w:name w:val="footnote reference"/>
    <w:basedOn w:val="DefaultParagraphFont"/>
    <w:uiPriority w:val="99"/>
    <w:semiHidden/>
    <w:unhideWhenUsed/>
    <w:rsid w:val="007963CA"/>
    <w:rPr>
      <w:vertAlign w:val="superscript"/>
    </w:rPr>
  </w:style>
  <w:style w:type="paragraph" w:styleId="PlainText">
    <w:name w:val="Plain Text"/>
    <w:basedOn w:val="Normal"/>
    <w:link w:val="PlainTextChar"/>
    <w:uiPriority w:val="99"/>
    <w:semiHidden/>
    <w:unhideWhenUsed/>
    <w:rsid w:val="001564CC"/>
    <w:pPr>
      <w:spacing w:after="0" w:line="240" w:lineRule="auto"/>
    </w:pPr>
    <w:rPr>
      <w:rFonts w:ascii="Calibri" w:hAnsi="Calibri"/>
      <w:szCs w:val="21"/>
    </w:rPr>
  </w:style>
  <w:style w:type="character" w:customStyle="1" w:styleId="PlainTextChar">
    <w:name w:val="Plain Text Char"/>
    <w:basedOn w:val="DefaultParagraphFont"/>
    <w:link w:val="PlainText"/>
    <w:uiPriority w:val="99"/>
    <w:semiHidden/>
    <w:rsid w:val="001564CC"/>
    <w:rPr>
      <w:rFonts w:ascii="Calibri" w:hAnsi="Calibri"/>
      <w:szCs w:val="21"/>
    </w:rPr>
  </w:style>
  <w:style w:type="paragraph" w:styleId="NoSpacing">
    <w:name w:val="No Spacing"/>
    <w:uiPriority w:val="99"/>
    <w:qFormat/>
    <w:rsid w:val="001564CC"/>
    <w:pPr>
      <w:spacing w:after="0" w:line="240" w:lineRule="auto"/>
    </w:pPr>
    <w:rPr>
      <w:rFonts w:ascii="Times New Roman" w:eastAsia="MS Mincho" w:hAnsi="Times New Roman" w:cs="Times New Roman"/>
      <w:sz w:val="24"/>
      <w:szCs w:val="24"/>
      <w:lang w:eastAsia="ja-JP"/>
    </w:rPr>
  </w:style>
  <w:style w:type="paragraph" w:styleId="Header">
    <w:name w:val="header"/>
    <w:basedOn w:val="Normal"/>
    <w:link w:val="HeaderChar"/>
    <w:uiPriority w:val="99"/>
    <w:unhideWhenUsed/>
    <w:rsid w:val="001564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1564CC"/>
  </w:style>
  <w:style w:type="paragraph" w:styleId="Footer">
    <w:name w:val="footer"/>
    <w:basedOn w:val="Normal"/>
    <w:link w:val="FooterChar"/>
    <w:uiPriority w:val="99"/>
    <w:unhideWhenUsed/>
    <w:rsid w:val="001564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1564CC"/>
  </w:style>
  <w:style w:type="paragraph" w:styleId="BalloonText">
    <w:name w:val="Balloon Text"/>
    <w:basedOn w:val="Normal"/>
    <w:link w:val="BalloonTextChar"/>
    <w:uiPriority w:val="99"/>
    <w:semiHidden/>
    <w:unhideWhenUsed/>
    <w:rsid w:val="0059006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9006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4188016">
      <w:bodyDiv w:val="1"/>
      <w:marLeft w:val="0"/>
      <w:marRight w:val="0"/>
      <w:marTop w:val="0"/>
      <w:marBottom w:val="0"/>
      <w:divBdr>
        <w:top w:val="none" w:sz="0" w:space="0" w:color="auto"/>
        <w:left w:val="none" w:sz="0" w:space="0" w:color="auto"/>
        <w:bottom w:val="none" w:sz="0" w:space="0" w:color="auto"/>
        <w:right w:val="none" w:sz="0" w:space="0" w:color="auto"/>
      </w:divBdr>
    </w:div>
    <w:div w:id="606734678">
      <w:bodyDiv w:val="1"/>
      <w:marLeft w:val="0"/>
      <w:marRight w:val="0"/>
      <w:marTop w:val="0"/>
      <w:marBottom w:val="0"/>
      <w:divBdr>
        <w:top w:val="none" w:sz="0" w:space="0" w:color="auto"/>
        <w:left w:val="none" w:sz="0" w:space="0" w:color="auto"/>
        <w:bottom w:val="none" w:sz="0" w:space="0" w:color="auto"/>
        <w:right w:val="none" w:sz="0" w:space="0" w:color="auto"/>
      </w:divBdr>
    </w:div>
    <w:div w:id="614289569">
      <w:bodyDiv w:val="1"/>
      <w:marLeft w:val="0"/>
      <w:marRight w:val="0"/>
      <w:marTop w:val="0"/>
      <w:marBottom w:val="0"/>
      <w:divBdr>
        <w:top w:val="none" w:sz="0" w:space="0" w:color="auto"/>
        <w:left w:val="none" w:sz="0" w:space="0" w:color="auto"/>
        <w:bottom w:val="none" w:sz="0" w:space="0" w:color="auto"/>
        <w:right w:val="none" w:sz="0" w:space="0" w:color="auto"/>
      </w:divBdr>
      <w:divsChild>
        <w:div w:id="648637500">
          <w:marLeft w:val="0"/>
          <w:marRight w:val="0"/>
          <w:marTop w:val="225"/>
          <w:marBottom w:val="225"/>
          <w:divBdr>
            <w:top w:val="none" w:sz="0" w:space="0" w:color="auto"/>
            <w:left w:val="none" w:sz="0" w:space="0" w:color="auto"/>
            <w:bottom w:val="none" w:sz="0" w:space="0" w:color="auto"/>
            <w:right w:val="none" w:sz="0" w:space="0" w:color="auto"/>
          </w:divBdr>
          <w:divsChild>
            <w:div w:id="1304695764">
              <w:marLeft w:val="0"/>
              <w:marRight w:val="0"/>
              <w:marTop w:val="0"/>
              <w:marBottom w:val="0"/>
              <w:divBdr>
                <w:top w:val="none" w:sz="0" w:space="0" w:color="auto"/>
                <w:left w:val="none" w:sz="0" w:space="0" w:color="auto"/>
                <w:bottom w:val="none" w:sz="0" w:space="0" w:color="auto"/>
                <w:right w:val="none" w:sz="0" w:space="0" w:color="auto"/>
              </w:divBdr>
              <w:divsChild>
                <w:div w:id="1380714362">
                  <w:marLeft w:val="0"/>
                  <w:marRight w:val="0"/>
                  <w:marTop w:val="0"/>
                  <w:marBottom w:val="0"/>
                  <w:divBdr>
                    <w:top w:val="none" w:sz="0" w:space="0" w:color="auto"/>
                    <w:left w:val="none" w:sz="0" w:space="0" w:color="auto"/>
                    <w:bottom w:val="none" w:sz="0" w:space="0" w:color="auto"/>
                    <w:right w:val="none" w:sz="0" w:space="0" w:color="auto"/>
                  </w:divBdr>
                  <w:divsChild>
                    <w:div w:id="1408576517">
                      <w:marLeft w:val="0"/>
                      <w:marRight w:val="0"/>
                      <w:marTop w:val="0"/>
                      <w:marBottom w:val="0"/>
                      <w:divBdr>
                        <w:top w:val="none" w:sz="0" w:space="0" w:color="auto"/>
                        <w:left w:val="none" w:sz="0" w:space="0" w:color="auto"/>
                        <w:bottom w:val="none" w:sz="0" w:space="0" w:color="auto"/>
                        <w:right w:val="none" w:sz="0" w:space="0" w:color="auto"/>
                      </w:divBdr>
                    </w:div>
                    <w:div w:id="1044020899">
                      <w:marLeft w:val="0"/>
                      <w:marRight w:val="0"/>
                      <w:marTop w:val="0"/>
                      <w:marBottom w:val="0"/>
                      <w:divBdr>
                        <w:top w:val="none" w:sz="0" w:space="0" w:color="auto"/>
                        <w:left w:val="none" w:sz="0" w:space="0" w:color="auto"/>
                        <w:bottom w:val="none" w:sz="0" w:space="0" w:color="auto"/>
                        <w:right w:val="none" w:sz="0" w:space="0" w:color="auto"/>
                      </w:divBdr>
                    </w:div>
                    <w:div w:id="1514800554">
                      <w:marLeft w:val="0"/>
                      <w:marRight w:val="0"/>
                      <w:marTop w:val="0"/>
                      <w:marBottom w:val="0"/>
                      <w:divBdr>
                        <w:top w:val="none" w:sz="0" w:space="0" w:color="auto"/>
                        <w:left w:val="none" w:sz="0" w:space="0" w:color="auto"/>
                        <w:bottom w:val="none" w:sz="0" w:space="0" w:color="auto"/>
                        <w:right w:val="none" w:sz="0" w:space="0" w:color="auto"/>
                      </w:divBdr>
                    </w:div>
                    <w:div w:id="129409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8987278">
          <w:marLeft w:val="0"/>
          <w:marRight w:val="0"/>
          <w:marTop w:val="225"/>
          <w:marBottom w:val="225"/>
          <w:divBdr>
            <w:top w:val="none" w:sz="0" w:space="0" w:color="auto"/>
            <w:left w:val="none" w:sz="0" w:space="0" w:color="auto"/>
            <w:bottom w:val="none" w:sz="0" w:space="0" w:color="auto"/>
            <w:right w:val="none" w:sz="0" w:space="0" w:color="auto"/>
          </w:divBdr>
          <w:divsChild>
            <w:div w:id="1548879989">
              <w:marLeft w:val="0"/>
              <w:marRight w:val="0"/>
              <w:marTop w:val="0"/>
              <w:marBottom w:val="0"/>
              <w:divBdr>
                <w:top w:val="none" w:sz="0" w:space="0" w:color="auto"/>
                <w:left w:val="none" w:sz="0" w:space="0" w:color="auto"/>
                <w:bottom w:val="none" w:sz="0" w:space="0" w:color="auto"/>
                <w:right w:val="none" w:sz="0" w:space="0" w:color="auto"/>
              </w:divBdr>
            </w:div>
            <w:div w:id="134105982">
              <w:marLeft w:val="0"/>
              <w:marRight w:val="0"/>
              <w:marTop w:val="0"/>
              <w:marBottom w:val="0"/>
              <w:divBdr>
                <w:top w:val="none" w:sz="0" w:space="0" w:color="auto"/>
                <w:left w:val="none" w:sz="0" w:space="0" w:color="auto"/>
                <w:bottom w:val="none" w:sz="0" w:space="0" w:color="auto"/>
                <w:right w:val="none" w:sz="0" w:space="0" w:color="auto"/>
              </w:divBdr>
            </w:div>
            <w:div w:id="934942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4627192">
      <w:bodyDiv w:val="1"/>
      <w:marLeft w:val="0"/>
      <w:marRight w:val="0"/>
      <w:marTop w:val="0"/>
      <w:marBottom w:val="0"/>
      <w:divBdr>
        <w:top w:val="none" w:sz="0" w:space="0" w:color="auto"/>
        <w:left w:val="none" w:sz="0" w:space="0" w:color="auto"/>
        <w:bottom w:val="none" w:sz="0" w:space="0" w:color="auto"/>
        <w:right w:val="none" w:sz="0" w:space="0" w:color="auto"/>
      </w:divBdr>
    </w:div>
    <w:div w:id="800536863">
      <w:bodyDiv w:val="1"/>
      <w:marLeft w:val="0"/>
      <w:marRight w:val="0"/>
      <w:marTop w:val="0"/>
      <w:marBottom w:val="0"/>
      <w:divBdr>
        <w:top w:val="none" w:sz="0" w:space="0" w:color="auto"/>
        <w:left w:val="none" w:sz="0" w:space="0" w:color="auto"/>
        <w:bottom w:val="none" w:sz="0" w:space="0" w:color="auto"/>
        <w:right w:val="none" w:sz="0" w:space="0" w:color="auto"/>
      </w:divBdr>
    </w:div>
    <w:div w:id="1046955774">
      <w:bodyDiv w:val="1"/>
      <w:marLeft w:val="0"/>
      <w:marRight w:val="0"/>
      <w:marTop w:val="0"/>
      <w:marBottom w:val="0"/>
      <w:divBdr>
        <w:top w:val="none" w:sz="0" w:space="0" w:color="auto"/>
        <w:left w:val="none" w:sz="0" w:space="0" w:color="auto"/>
        <w:bottom w:val="none" w:sz="0" w:space="0" w:color="auto"/>
        <w:right w:val="none" w:sz="0" w:space="0" w:color="auto"/>
      </w:divBdr>
    </w:div>
    <w:div w:id="1505896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dsociety.org/Guidelines/Patient_Care/IDSA_Practice_Guidelines/Infections_by_Organ_System/Lower/Upper_Respiratory/Hospital-Acquired___Ventilator_-_Associated_Pneumonia_(HAP/VAP)/"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healthsystem.virginia.edu/docs/manuals/guidelines/cpgguidelines/02-clinical-practice-guidelines/hap-vap-guideline"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mayomedicallaboratories.com/test-catalog/Overview/9167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Tal2g@virginia.edu" TargetMode="External"/><Relationship Id="rId5" Type="http://schemas.openxmlformats.org/officeDocument/2006/relationships/settings" Target="settings.xml"/><Relationship Id="rId15" Type="http://schemas.openxmlformats.org/officeDocument/2006/relationships/hyperlink" Target="https://www.mayomedicallaboratories.com/test-catalog/Overview/89887" TargetMode="External"/><Relationship Id="rId10" Type="http://schemas.openxmlformats.org/officeDocument/2006/relationships/hyperlink" Target="mailto:TWB7P@virginia.edu"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mailto:Jdg8z@Virginia.edu" TargetMode="External"/><Relationship Id="rId14" Type="http://schemas.openxmlformats.org/officeDocument/2006/relationships/hyperlink" Target="https://www.mayomedicallaboratories.com/test-catalog/Overview/89074"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2ABCD-E604-4E73-9ED9-E0040686C8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1576</Words>
  <Characters>8988</Characters>
  <Application>Microsoft Office Word</Application>
  <DocSecurity>4</DocSecurity>
  <Lines>74</Lines>
  <Paragraphs>21</Paragraphs>
  <ScaleCrop>false</ScaleCrop>
  <HeadingPairs>
    <vt:vector size="2" baseType="variant">
      <vt:variant>
        <vt:lpstr>Title</vt:lpstr>
      </vt:variant>
      <vt:variant>
        <vt:i4>1</vt:i4>
      </vt:variant>
    </vt:vector>
  </HeadingPairs>
  <TitlesOfParts>
    <vt:vector size="1" baseType="lpstr">
      <vt:lpstr/>
    </vt:vector>
  </TitlesOfParts>
  <Company>UVA Health System</Company>
  <LinksUpToDate>false</LinksUpToDate>
  <CharactersWithSpaces>10543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Gorham, James D *HS</dc:creator>
  <cp:lastModifiedBy>Pannell, Christy W *HS</cp:lastModifiedBy>
  <cp:revision>2</cp:revision>
  <cp:lastPrinted>2018-05-07T12:39:00Z</cp:lastPrinted>
  <dcterms:created xsi:type="dcterms:W3CDTF">2018-05-10T14:13:00Z</dcterms:created>
  <dcterms:modified xsi:type="dcterms:W3CDTF">2018-05-10T14:13:00Z</dcterms:modified>
</cp:coreProperties>
</file>