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4CF" w:rsidRPr="00362495" w:rsidRDefault="005A04CF" w:rsidP="005A04CF">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5A04CF" w:rsidRPr="00362495" w:rsidRDefault="005A04CF" w:rsidP="005A04CF">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5A04CF" w:rsidRPr="00362495" w:rsidRDefault="005A04CF" w:rsidP="005A04CF">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5A04CF" w:rsidRPr="006B6F55" w:rsidRDefault="005A04CF" w:rsidP="005A04CF">
      <w:pPr>
        <w:pStyle w:val="NoSpacing"/>
        <w:jc w:val="center"/>
        <w:rPr>
          <w:rFonts w:ascii="Calibri" w:hAnsi="Calibri"/>
          <w:b/>
          <w:i/>
          <w:snapToGrid w:val="0"/>
          <w:sz w:val="26"/>
          <w:szCs w:val="26"/>
        </w:rPr>
      </w:pPr>
    </w:p>
    <w:p w:rsidR="005A04CF" w:rsidRPr="00634C2D" w:rsidRDefault="005A04CF" w:rsidP="005A04CF">
      <w:pPr>
        <w:keepNext/>
        <w:widowControl w:val="0"/>
        <w:jc w:val="center"/>
        <w:outlineLvl w:val="0"/>
        <w:rPr>
          <w:rFonts w:ascii="Calibri" w:hAnsi="Calibri"/>
          <w:b/>
          <w:i/>
          <w:snapToGrid w:val="0"/>
          <w:sz w:val="26"/>
          <w:szCs w:val="26"/>
          <w:u w:val="single"/>
        </w:rPr>
      </w:pPr>
      <w:r w:rsidRPr="00634C2D">
        <w:rPr>
          <w:rFonts w:ascii="Calibri" w:hAnsi="Calibri"/>
          <w:b/>
          <w:i/>
          <w:snapToGrid w:val="0"/>
          <w:sz w:val="26"/>
          <w:szCs w:val="26"/>
          <w:u w:val="single"/>
        </w:rPr>
        <w:t>LABORATORY MEDICINE UPDATE</w:t>
      </w:r>
    </w:p>
    <w:p w:rsidR="005A04CF" w:rsidRDefault="005A04CF" w:rsidP="005A04CF">
      <w:pPr>
        <w:spacing w:after="0" w:line="240" w:lineRule="auto"/>
        <w:jc w:val="center"/>
        <w:rPr>
          <w:rFonts w:ascii="Calibri" w:eastAsia="Times New Roman" w:hAnsi="Calibri"/>
          <w:bCs/>
          <w:sz w:val="26"/>
          <w:szCs w:val="26"/>
          <w:u w:val="single"/>
        </w:rPr>
      </w:pPr>
      <w:r>
        <w:rPr>
          <w:rFonts w:ascii="Calibri" w:eastAsia="Times New Roman" w:hAnsi="Calibri"/>
          <w:bCs/>
          <w:sz w:val="26"/>
          <w:szCs w:val="26"/>
          <w:u w:val="single"/>
        </w:rPr>
        <w:t>April 11, 2018</w:t>
      </w:r>
    </w:p>
    <w:p w:rsidR="005A04CF" w:rsidRDefault="005A04CF" w:rsidP="00C4432E">
      <w:pPr>
        <w:pStyle w:val="PlainText"/>
      </w:pPr>
    </w:p>
    <w:p w:rsidR="005A04CF" w:rsidRDefault="005A04CF" w:rsidP="00C4432E">
      <w:pPr>
        <w:pStyle w:val="PlainText"/>
      </w:pPr>
    </w:p>
    <w:p w:rsidR="00E05A27" w:rsidRDefault="00E05A27" w:rsidP="005A04CF">
      <w:pPr>
        <w:pStyle w:val="PlainText"/>
        <w:jc w:val="center"/>
      </w:pPr>
      <w:r>
        <w:rPr>
          <w:b/>
        </w:rPr>
        <w:t>No longer available – H. pylori Antibody Testing</w:t>
      </w:r>
    </w:p>
    <w:p w:rsidR="00E05A27" w:rsidRDefault="00E05A27" w:rsidP="005A04CF">
      <w:pPr>
        <w:pStyle w:val="PlainText"/>
        <w:jc w:val="center"/>
      </w:pPr>
    </w:p>
    <w:p w:rsidR="00E05A27" w:rsidRDefault="00E05A27" w:rsidP="00E05A27">
      <w:pPr>
        <w:pStyle w:val="PlainText"/>
      </w:pPr>
      <w:r>
        <w:t>With a change in testing equipment in the Core Chemistry Laboratory, effective Tuesday April 10</w:t>
      </w:r>
      <w:r w:rsidRPr="00E05A27">
        <w:rPr>
          <w:vertAlign w:val="superscript"/>
        </w:rPr>
        <w:t>th</w:t>
      </w:r>
      <w:r>
        <w:t xml:space="preserve">, H. pylori antibody testing will no longer be available at the University of Virginia.  The testing is also not available through any of the major reference laboratories.  Both H. pylori breath testing and H. pylori stool antigen testing remain available and orderable in Epic.  For more information about H. pylori laboratory testing, please visit </w:t>
      </w:r>
      <w:hyperlink r:id="rId6" w:history="1">
        <w:r>
          <w:rPr>
            <w:rStyle w:val="Hyperlink"/>
          </w:rPr>
          <w:t>https://labtestsonline.org/tests/helicobacter-pylori-testing</w:t>
        </w:r>
      </w:hyperlink>
      <w:r>
        <w:t>.</w:t>
      </w:r>
    </w:p>
    <w:p w:rsidR="00E05A27" w:rsidRDefault="00E05A27" w:rsidP="00E05A27">
      <w:pPr>
        <w:pStyle w:val="PlainText"/>
      </w:pPr>
    </w:p>
    <w:p w:rsidR="00E05A27" w:rsidRDefault="00E05A27" w:rsidP="005A04CF">
      <w:pPr>
        <w:pStyle w:val="PlainText"/>
        <w:jc w:val="center"/>
        <w:rPr>
          <w:b/>
        </w:rPr>
      </w:pPr>
    </w:p>
    <w:p w:rsidR="005A04CF" w:rsidRDefault="005A04CF" w:rsidP="005A04CF">
      <w:pPr>
        <w:pStyle w:val="PlainText"/>
        <w:jc w:val="center"/>
        <w:rPr>
          <w:b/>
        </w:rPr>
      </w:pPr>
      <w:r>
        <w:rPr>
          <w:b/>
        </w:rPr>
        <w:t>New platform/testing equipment in the Core Chemistry Laboratory</w:t>
      </w:r>
    </w:p>
    <w:p w:rsidR="005A04CF" w:rsidRPr="005A04CF" w:rsidRDefault="005A04CF" w:rsidP="005A04CF">
      <w:pPr>
        <w:pStyle w:val="PlainText"/>
        <w:jc w:val="center"/>
        <w:rPr>
          <w:b/>
        </w:rPr>
      </w:pPr>
    </w:p>
    <w:p w:rsidR="00C4432E" w:rsidRDefault="00C4432E" w:rsidP="00C4432E">
      <w:pPr>
        <w:pStyle w:val="PlainText"/>
      </w:pPr>
      <w:r>
        <w:t xml:space="preserve">On the morning of Tuesday April </w:t>
      </w:r>
      <w:proofErr w:type="gramStart"/>
      <w:r>
        <w:t>10</w:t>
      </w:r>
      <w:r w:rsidRPr="005A04CF">
        <w:rPr>
          <w:vertAlign w:val="superscript"/>
        </w:rPr>
        <w:t>th</w:t>
      </w:r>
      <w:r w:rsidR="005A04CF">
        <w:t xml:space="preserve"> </w:t>
      </w:r>
      <w:r>
        <w:t xml:space="preserve"> we</w:t>
      </w:r>
      <w:proofErr w:type="gramEnd"/>
      <w:r>
        <w:t xml:space="preserve"> will be moving some testing from the Siemens Immulite to the Roche </w:t>
      </w:r>
      <w:proofErr w:type="spellStart"/>
      <w:r>
        <w:t>cobas</w:t>
      </w:r>
      <w:proofErr w:type="spellEnd"/>
      <w:r>
        <w:t xml:space="preserve"> e411 platform.  You may see updated reference intervals to reflect the different analyzer’s specifications as well as performance. These changes were made based on internal validation studies, which included patient comparisons with the previous method.   In addition, the Roche </w:t>
      </w:r>
      <w:proofErr w:type="spellStart"/>
      <w:r>
        <w:t>cobas</w:t>
      </w:r>
      <w:proofErr w:type="spellEnd"/>
      <w:r>
        <w:t xml:space="preserve"> e411 lists biotin as a known </w:t>
      </w:r>
      <w:proofErr w:type="spellStart"/>
      <w:r>
        <w:t>interferant</w:t>
      </w:r>
      <w:proofErr w:type="spellEnd"/>
      <w:r>
        <w:t xml:space="preserve"> with all of its assays.  Patients should not take multivitamins or dietary supplements containing biotin twelve hours before the blood draw.  The impacted tests are: Growth Hormone, DHEA-S, ACTH, Anti-Thyroglobulin, Anti-Thyroid Peroxidase, and C-Peptide.</w:t>
      </w:r>
    </w:p>
    <w:p w:rsidR="005A04CF" w:rsidRDefault="005A04CF" w:rsidP="00C4432E">
      <w:pPr>
        <w:pStyle w:val="PlainText"/>
      </w:pPr>
    </w:p>
    <w:p w:rsidR="00E05A27" w:rsidRDefault="00E05A27" w:rsidP="00E05A27">
      <w:pPr>
        <w:pStyle w:val="PlainText"/>
      </w:pPr>
    </w:p>
    <w:p w:rsidR="00E05A27" w:rsidRDefault="00E05A27" w:rsidP="00E05A27">
      <w:pPr>
        <w:pStyle w:val="PlainText"/>
        <w:jc w:val="center"/>
      </w:pPr>
      <w:r>
        <w:rPr>
          <w:b/>
        </w:rPr>
        <w:t>CDC recommendations for HIV screening</w:t>
      </w:r>
    </w:p>
    <w:p w:rsidR="00E05A27" w:rsidRDefault="00E05A27" w:rsidP="00E05A27">
      <w:pPr>
        <w:pStyle w:val="PlainText"/>
      </w:pPr>
    </w:p>
    <w:p w:rsidR="00E05A27" w:rsidRPr="00E05A27" w:rsidRDefault="005D57CD" w:rsidP="00E05A27">
      <w:pPr>
        <w:pStyle w:val="PlainText"/>
      </w:pPr>
      <w:proofErr w:type="gramStart"/>
      <w:r>
        <w:t>CDC recommendations for HIV screening suggest the following algorithm and is</w:t>
      </w:r>
      <w:proofErr w:type="gramEnd"/>
      <w:r>
        <w:t xml:space="preserve"> endorsed by UVA Medical Laboratories.</w:t>
      </w:r>
    </w:p>
    <w:p w:rsidR="005D57CD" w:rsidRDefault="005D57CD">
      <w:r>
        <w:rPr>
          <w:noProof/>
        </w:rPr>
        <mc:AlternateContent>
          <mc:Choice Requires="wps">
            <w:drawing>
              <wp:anchor distT="0" distB="0" distL="114300" distR="114300" simplePos="0" relativeHeight="251659264" behindDoc="0" locked="0" layoutInCell="1" allowOverlap="1">
                <wp:simplePos x="0" y="0"/>
                <wp:positionH relativeFrom="column">
                  <wp:posOffset>1419225</wp:posOffset>
                </wp:positionH>
                <wp:positionV relativeFrom="paragraph">
                  <wp:posOffset>68580</wp:posOffset>
                </wp:positionV>
                <wp:extent cx="2752725" cy="4667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2752725" cy="466725"/>
                        </a:xfrm>
                        <a:prstGeom prst="rect">
                          <a:avLst/>
                        </a:prstGeom>
                        <a:solidFill>
                          <a:schemeClr val="lt1"/>
                        </a:solidFill>
                        <a:ln w="6350">
                          <a:solidFill>
                            <a:prstClr val="black"/>
                          </a:solidFill>
                        </a:ln>
                      </wps:spPr>
                      <wps:txbx>
                        <w:txbxContent>
                          <w:p w:rsidR="005D57CD" w:rsidRDefault="005D57CD" w:rsidP="005D57CD">
                            <w:pPr>
                              <w:jc w:val="center"/>
                            </w:pPr>
                            <w:r>
                              <w:t>Testing with 4</w:t>
                            </w:r>
                            <w:r w:rsidRPr="005D57CD">
                              <w:rPr>
                                <w:vertAlign w:val="superscript"/>
                              </w:rPr>
                              <w:t>th</w:t>
                            </w:r>
                            <w:r>
                              <w:t xml:space="preserve"> generation HIV test (anti-HIV-1 Ab, anti-HIV-2 Ab, and p24 antigen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Text Box 1" o:spid="_x0000_s1026" type="#_x0000_t202" style="position:absolute;margin-left:111.75pt;margin-top:5.4pt;width:216.75pt;height:36.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" fillcolor="white [3201]" strokeweight=".5pt">
                <v:textbox>
                  <w:txbxContent>
                    <w:p w:rsidR="005D57CD" w:rsidRDefault="005D57CD" w:rsidP="005D57CD">
                      <w:pPr>
                        <w:jc w:val="center"/>
                      </w:pPr>
                      <w:r>
                        <w:t>Testing with 4</w:t>
                      </w:r>
                      <w:r w:rsidRPr="005D57CD">
                        <w:rPr>
                          <w:vertAlign w:val="superscript"/>
                        </w:rPr>
                        <w:t>th</w:t>
                      </w:r>
                      <w:r>
                        <w:t xml:space="preserve"> generation HIV test (anti-HIV-1 Ab, anti-HIV-2 Ab, and p24 antigen</w:t>
                      </w:r>
                    </w:p>
                  </w:txbxContent>
                </v:textbox>
              </v:shape>
            </w:pict>
          </mc:Fallback>
        </mc:AlternateContent>
      </w:r>
    </w:p>
    <w:p w:rsidR="001247DD" w:rsidRDefault="001247DD"/>
    <w:p w:rsidR="005D57CD" w:rsidRDefault="005D57CD">
      <w:r>
        <w:rPr>
          <w:noProof/>
        </w:rPr>
        <mc:AlternateContent>
          <mc:Choice Requires="wps">
            <w:drawing>
              <wp:anchor distT="0" distB="0" distL="114300" distR="114300" simplePos="0" relativeHeight="251660288" behindDoc="0" locked="0" layoutInCell="1" allowOverlap="1">
                <wp:simplePos x="0" y="0"/>
                <wp:positionH relativeFrom="column">
                  <wp:posOffset>1200150</wp:posOffset>
                </wp:positionH>
                <wp:positionV relativeFrom="paragraph">
                  <wp:posOffset>165100</wp:posOffset>
                </wp:positionV>
                <wp:extent cx="3390900" cy="466725"/>
                <wp:effectExtent l="0" t="0" r="19050" b="28575"/>
                <wp:wrapNone/>
                <wp:docPr id="2" name="Text Box 2"/>
                <wp:cNvGraphicFramePr/>
                <a:graphic xmlns:a="http://schemas.openxmlformats.org/drawingml/2006/main">
                  <a:graphicData uri="http://schemas.microsoft.com/office/word/2010/wordprocessingShape">
                    <wps:wsp>
                      <wps:cNvSpPr txBox="1"/>
                      <wps:spPr>
                        <a:xfrm>
                          <a:off x="0" y="0"/>
                          <a:ext cx="3390900" cy="466725"/>
                        </a:xfrm>
                        <a:prstGeom prst="rect">
                          <a:avLst/>
                        </a:prstGeom>
                        <a:solidFill>
                          <a:schemeClr val="lt1"/>
                        </a:solidFill>
                        <a:ln w="6350">
                          <a:solidFill>
                            <a:prstClr val="black"/>
                          </a:solidFill>
                        </a:ln>
                      </wps:spPr>
                      <wps:txbx>
                        <w:txbxContent>
                          <w:p w:rsidR="005D57CD" w:rsidRPr="005D57CD" w:rsidRDefault="005D57CD" w:rsidP="005D57CD">
                            <w:pPr>
                              <w:jc w:val="center"/>
                            </w:pPr>
                            <w:r>
                              <w:t xml:space="preserve">Anti-HIV-1 Antibody </w:t>
                            </w:r>
                            <w:r>
                              <w:rPr>
                                <w:i/>
                              </w:rPr>
                              <w:t>versus</w:t>
                            </w:r>
                            <w:r>
                              <w:t xml:space="preserve"> Anti-HIV-2 Antibody Confirmation test (this is done automatically at UVA)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2" o:spid="_x0000_s1027" type="#_x0000_t202" style="position:absolute;margin-left:94.5pt;margin-top:13pt;width:267pt;height:36.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" fillcolor="white [3201]" strokeweight=".5pt">
                <v:textbox>
                  <w:txbxContent>
                    <w:p w:rsidR="005D57CD" w:rsidRPr="005D57CD" w:rsidRDefault="005D57CD" w:rsidP="005D57CD">
                      <w:pPr>
                        <w:jc w:val="center"/>
                      </w:pPr>
                      <w:r>
                        <w:t xml:space="preserve">Anti-HIV-1 Antibody </w:t>
                      </w:r>
                      <w:r>
                        <w:rPr>
                          <w:i/>
                        </w:rPr>
                        <w:t>versus</w:t>
                      </w:r>
                      <w:r>
                        <w:t xml:space="preserve"> Anti-HIV-2 Antibody Confirmation test (this </w:t>
                      </w:r>
                      <w:proofErr w:type="gramStart"/>
                      <w:r>
                        <w:t>is done</w:t>
                      </w:r>
                      <w:proofErr w:type="gramEnd"/>
                      <w:r>
                        <w:t xml:space="preserve"> automatically at UVA)</w:t>
                      </w:r>
                    </w:p>
                  </w:txbxContent>
                </v:textbox>
              </v:shape>
            </w:pict>
          </mc:Fallback>
        </mc:AlternateContent>
      </w:r>
      <w:r>
        <w:t>If positive reflex to:</w:t>
      </w:r>
    </w:p>
    <w:p w:rsidR="005D57CD" w:rsidRDefault="005D57CD"/>
    <w:p w:rsidR="005D57CD" w:rsidRDefault="005D57CD" w:rsidP="005D57CD">
      <w:pPr>
        <w:spacing w:after="0"/>
      </w:pPr>
    </w:p>
    <w:p w:rsidR="005D57CD" w:rsidRDefault="005D57CD" w:rsidP="005D57CD">
      <w:pPr>
        <w:spacing w:after="0"/>
      </w:pPr>
      <w:r>
        <w:t>If positive – begin/refer for treatment.</w:t>
      </w:r>
    </w:p>
    <w:p w:rsidR="005D57CD" w:rsidRDefault="005D57CD">
      <w:r>
        <w:rPr>
          <w:noProof/>
        </w:rPr>
        <mc:AlternateContent>
          <mc:Choice Requires="wps">
            <w:drawing>
              <wp:anchor distT="0" distB="0" distL="114300" distR="114300" simplePos="0" relativeHeight="251661312" behindDoc="0" locked="0" layoutInCell="1" allowOverlap="1">
                <wp:simplePos x="0" y="0"/>
                <wp:positionH relativeFrom="column">
                  <wp:posOffset>1276350</wp:posOffset>
                </wp:positionH>
                <wp:positionV relativeFrom="paragraph">
                  <wp:posOffset>162560</wp:posOffset>
                </wp:positionV>
                <wp:extent cx="3219450" cy="3429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3219450" cy="342900"/>
                        </a:xfrm>
                        <a:prstGeom prst="rect">
                          <a:avLst/>
                        </a:prstGeom>
                        <a:solidFill>
                          <a:schemeClr val="lt1"/>
                        </a:solidFill>
                        <a:ln w="6350">
                          <a:solidFill>
                            <a:prstClr val="black"/>
                          </a:solidFill>
                        </a:ln>
                      </wps:spPr>
                      <wps:txbx>
                        <w:txbxContent>
                          <w:p w:rsidR="005D57CD" w:rsidRDefault="005D57CD" w:rsidP="005D57CD">
                            <w:pPr>
                              <w:jc w:val="center"/>
                            </w:pPr>
                            <w:r>
                              <w:t>Quantitative HIV RNA (Viral Load) test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id="Text Box 3" o:spid="_x0000_s1028" type="#_x0000_t202" style="position:absolute;margin-left:100.5pt;margin-top:12.8pt;width:253.5pt;height:27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" fillcolor="white [3201]" strokeweight=".5pt">
                <v:textbox>
                  <w:txbxContent>
                    <w:p w:rsidR="005D57CD" w:rsidRDefault="005D57CD" w:rsidP="005D57CD">
                      <w:pPr>
                        <w:jc w:val="center"/>
                      </w:pPr>
                      <w:r>
                        <w:t>Quantitative HIV RNA (Viral Load) test</w:t>
                      </w:r>
                    </w:p>
                  </w:txbxContent>
                </v:textbox>
              </v:shape>
            </w:pict>
          </mc:Fallback>
        </mc:AlternateContent>
      </w:r>
      <w:r>
        <w:t>If negative perform:</w:t>
      </w:r>
    </w:p>
    <w:p w:rsidR="005D57CD" w:rsidRDefault="005D57CD"/>
    <w:p w:rsidR="005D57CD" w:rsidRDefault="005D57CD" w:rsidP="005D57CD">
      <w:pPr>
        <w:spacing w:after="0"/>
      </w:pPr>
      <w:r>
        <w:t>If negative – patient does not have HIV</w:t>
      </w:r>
    </w:p>
    <w:p w:rsidR="005D57CD" w:rsidRDefault="005D57CD">
      <w:r>
        <w:t>If positive – begin/refer for treatment</w:t>
      </w:r>
    </w:p>
    <w:p w:rsidR="005D57CD" w:rsidRDefault="005D57CD"/>
    <w:p w:rsidR="005D57CD" w:rsidRDefault="005D57CD" w:rsidP="005D57CD">
      <w:pPr>
        <w:pStyle w:val="PlainText"/>
        <w:jc w:val="center"/>
      </w:pPr>
      <w:r>
        <w:rPr>
          <w:b/>
        </w:rPr>
        <w:t>New orderable tests</w:t>
      </w:r>
    </w:p>
    <w:p w:rsidR="005D57CD" w:rsidRDefault="005D57CD" w:rsidP="005D57CD">
      <w:pPr>
        <w:pStyle w:val="PlainText"/>
        <w:jc w:val="center"/>
      </w:pPr>
    </w:p>
    <w:p w:rsidR="005D57CD" w:rsidRDefault="005D57CD" w:rsidP="005D57CD">
      <w:pPr>
        <w:pStyle w:val="PlainText"/>
      </w:pPr>
      <w:r>
        <w:t>The following tests, performed by a reference laboratory, are now orderable in Epic:</w:t>
      </w:r>
    </w:p>
    <w:p w:rsidR="005D57CD" w:rsidRDefault="005D57CD" w:rsidP="005D57CD">
      <w:pPr>
        <w:pStyle w:val="PlainText"/>
        <w:numPr>
          <w:ilvl w:val="0"/>
          <w:numId w:val="1"/>
        </w:numPr>
      </w:pPr>
      <w:r>
        <w:t>Anti-IgE Receptor Antibody (LAB6143) – performed by National Jewish Health</w:t>
      </w:r>
    </w:p>
    <w:p w:rsidR="005D57CD" w:rsidRDefault="005D57CD" w:rsidP="005D57CD">
      <w:pPr>
        <w:pStyle w:val="PlainText"/>
        <w:numPr>
          <w:ilvl w:val="0"/>
          <w:numId w:val="1"/>
        </w:numPr>
      </w:pPr>
      <w:r>
        <w:t>Cytokine Panel (LAB6147) – performed by ARUP Laboratories</w:t>
      </w:r>
    </w:p>
    <w:p w:rsidR="005D57CD" w:rsidRDefault="005D57CD" w:rsidP="005D57CD">
      <w:pPr>
        <w:pStyle w:val="PlainText"/>
        <w:numPr>
          <w:ilvl w:val="0"/>
          <w:numId w:val="1"/>
        </w:numPr>
      </w:pPr>
      <w:proofErr w:type="spellStart"/>
      <w:r>
        <w:t>MyoMarker</w:t>
      </w:r>
      <w:proofErr w:type="spellEnd"/>
      <w:r>
        <w:t xml:space="preserve"> Panel 3 (LAB6144) – performed by RDL Reference Laboratories</w:t>
      </w:r>
    </w:p>
    <w:p w:rsidR="005D57CD" w:rsidRDefault="005D57CD" w:rsidP="005D57CD">
      <w:pPr>
        <w:pStyle w:val="PlainText"/>
        <w:numPr>
          <w:ilvl w:val="0"/>
          <w:numId w:val="1"/>
        </w:numPr>
      </w:pPr>
      <w:r>
        <w:t>Cystatin C (LAB6146) – performed by Mayo Medical Laboratories</w:t>
      </w:r>
    </w:p>
    <w:p w:rsidR="005D57CD" w:rsidRDefault="005D57CD" w:rsidP="005D57CD">
      <w:pPr>
        <w:pStyle w:val="PlainText"/>
      </w:pPr>
    </w:p>
    <w:p w:rsidR="005D57CD" w:rsidRPr="005A04CF" w:rsidRDefault="005D57CD" w:rsidP="005D57CD">
      <w:pPr>
        <w:pStyle w:val="PlainText"/>
      </w:pPr>
    </w:p>
    <w:p w:rsidR="005D57CD" w:rsidRDefault="005D57CD" w:rsidP="005D57CD">
      <w:pPr>
        <w:pStyle w:val="PlainText"/>
      </w:pPr>
    </w:p>
    <w:p w:rsidR="005D57CD" w:rsidRDefault="005D57CD"/>
    <w:sectPr w:rsidR="005D57CD" w:rsidSect="005D57CD">
      <w:pgSz w:w="12240" w:h="15840"/>
      <w:pgMar w:top="99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036F68"/>
    <w:multiLevelType w:val="hybridMultilevel"/>
    <w:tmpl w:val="57E67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432E"/>
    <w:rsid w:val="001247DD"/>
    <w:rsid w:val="005A04CF"/>
    <w:rsid w:val="005D57CD"/>
    <w:rsid w:val="00845554"/>
    <w:rsid w:val="00B622DE"/>
    <w:rsid w:val="00BB452E"/>
    <w:rsid w:val="00C4432E"/>
    <w:rsid w:val="00E05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C4432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C4432E"/>
    <w:rPr>
      <w:rFonts w:ascii="Calibri" w:hAnsi="Calibri"/>
      <w:szCs w:val="21"/>
    </w:rPr>
  </w:style>
  <w:style w:type="paragraph" w:styleId="BalloonText">
    <w:name w:val="Balloon Text"/>
    <w:basedOn w:val="Normal"/>
    <w:link w:val="BalloonTextChar"/>
    <w:uiPriority w:val="99"/>
    <w:semiHidden/>
    <w:unhideWhenUsed/>
    <w:rsid w:val="00C443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432E"/>
    <w:rPr>
      <w:rFonts w:ascii="Segoe UI" w:hAnsi="Segoe UI" w:cs="Segoe UI"/>
      <w:sz w:val="18"/>
      <w:szCs w:val="18"/>
    </w:rPr>
  </w:style>
  <w:style w:type="paragraph" w:styleId="NoSpacing">
    <w:name w:val="No Spacing"/>
    <w:uiPriority w:val="99"/>
    <w:qFormat/>
    <w:rsid w:val="005A04CF"/>
    <w:pPr>
      <w:spacing w:after="0" w:line="240" w:lineRule="auto"/>
    </w:pPr>
    <w:rPr>
      <w:rFonts w:ascii="Times New Roman" w:eastAsia="MS Mincho" w:hAnsi="Times New Roman" w:cs="Times New Roman"/>
      <w:sz w:val="24"/>
      <w:szCs w:val="24"/>
      <w:lang w:eastAsia="ja-JP"/>
    </w:rPr>
  </w:style>
  <w:style w:type="character" w:styleId="Hyperlink">
    <w:name w:val="Hyperlink"/>
    <w:basedOn w:val="DefaultParagraphFont"/>
    <w:uiPriority w:val="99"/>
    <w:semiHidden/>
    <w:unhideWhenUsed/>
    <w:rsid w:val="00E05A27"/>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iPriority w:val="99"/>
    <w:semiHidden/>
    <w:unhideWhenUsed/>
    <w:rsid w:val="00C4432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C4432E"/>
    <w:rPr>
      <w:rFonts w:ascii="Calibri" w:hAnsi="Calibri"/>
      <w:szCs w:val="21"/>
    </w:rPr>
  </w:style>
  <w:style w:type="paragraph" w:styleId="BalloonText">
    <w:name w:val="Balloon Text"/>
    <w:basedOn w:val="Normal"/>
    <w:link w:val="BalloonTextChar"/>
    <w:uiPriority w:val="99"/>
    <w:semiHidden/>
    <w:unhideWhenUsed/>
    <w:rsid w:val="00C443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432E"/>
    <w:rPr>
      <w:rFonts w:ascii="Segoe UI" w:hAnsi="Segoe UI" w:cs="Segoe UI"/>
      <w:sz w:val="18"/>
      <w:szCs w:val="18"/>
    </w:rPr>
  </w:style>
  <w:style w:type="paragraph" w:styleId="NoSpacing">
    <w:name w:val="No Spacing"/>
    <w:uiPriority w:val="99"/>
    <w:qFormat/>
    <w:rsid w:val="005A04CF"/>
    <w:pPr>
      <w:spacing w:after="0" w:line="240" w:lineRule="auto"/>
    </w:pPr>
    <w:rPr>
      <w:rFonts w:ascii="Times New Roman" w:eastAsia="MS Mincho" w:hAnsi="Times New Roman" w:cs="Times New Roman"/>
      <w:sz w:val="24"/>
      <w:szCs w:val="24"/>
      <w:lang w:eastAsia="ja-JP"/>
    </w:rPr>
  </w:style>
  <w:style w:type="character" w:styleId="Hyperlink">
    <w:name w:val="Hyperlink"/>
    <w:basedOn w:val="DefaultParagraphFont"/>
    <w:uiPriority w:val="99"/>
    <w:semiHidden/>
    <w:unhideWhenUsed/>
    <w:rsid w:val="00E05A2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580736">
      <w:bodyDiv w:val="1"/>
      <w:marLeft w:val="0"/>
      <w:marRight w:val="0"/>
      <w:marTop w:val="0"/>
      <w:marBottom w:val="0"/>
      <w:divBdr>
        <w:top w:val="none" w:sz="0" w:space="0" w:color="auto"/>
        <w:left w:val="none" w:sz="0" w:space="0" w:color="auto"/>
        <w:bottom w:val="none" w:sz="0" w:space="0" w:color="auto"/>
        <w:right w:val="none" w:sz="0" w:space="0" w:color="auto"/>
      </w:divBdr>
    </w:div>
    <w:div w:id="253784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abtestsonline.org/tests/helicobacter-pylori-testin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335</Words>
  <Characters>1914</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Virginia</Company>
  <LinksUpToDate>false</LinksUpToDate>
  <CharactersWithSpaces>2245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Haverstick, Doris M. (Dede) (dmh2t)</dc:creator>
  <cp:lastModifiedBy>Pannell, Christy W *HS</cp:lastModifiedBy>
  <cp:revision>2</cp:revision>
  <cp:lastPrinted>2018-04-11T17:53:00Z</cp:lastPrinted>
  <dcterms:created xsi:type="dcterms:W3CDTF">2018-04-11T17:53:00Z</dcterms:created>
  <dcterms:modified xsi:type="dcterms:W3CDTF">2018-04-11T17:53:00Z</dcterms:modified>
</cp:coreProperties>
</file>