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EAC" w:rsidRPr="00362495" w:rsidRDefault="00CB6EAC" w:rsidP="00CB6EAC">
      <w:pPr>
        <w:pStyle w:val="NoSpacing"/>
        <w:jc w:val="center"/>
        <w:outlineLvl w:val="0"/>
        <w:rPr>
          <w:rFonts w:ascii="Calibri" w:hAnsi="Calibri"/>
          <w:sz w:val="28"/>
          <w:szCs w:val="28"/>
        </w:rPr>
      </w:pPr>
      <w:bookmarkStart w:id="0" w:name="_GoBack"/>
      <w:bookmarkEnd w:id="0"/>
      <w:r w:rsidRPr="00362495">
        <w:rPr>
          <w:rFonts w:ascii="Calibri" w:hAnsi="Calibri"/>
          <w:sz w:val="28"/>
          <w:szCs w:val="28"/>
        </w:rPr>
        <w:t>University of Virginia Health System</w:t>
      </w:r>
    </w:p>
    <w:p w:rsidR="00CB6EAC" w:rsidRPr="00362495" w:rsidRDefault="00CB6EAC" w:rsidP="00CB6EAC">
      <w:pPr>
        <w:pStyle w:val="NoSpacing"/>
        <w:jc w:val="center"/>
        <w:outlineLvl w:val="0"/>
        <w:rPr>
          <w:rFonts w:ascii="Calibri" w:hAnsi="Calibri"/>
          <w:b/>
          <w:snapToGrid w:val="0"/>
          <w:sz w:val="28"/>
          <w:szCs w:val="28"/>
        </w:rPr>
      </w:pPr>
      <w:r w:rsidRPr="00362495">
        <w:rPr>
          <w:rFonts w:ascii="Calibri" w:hAnsi="Calibri"/>
          <w:b/>
          <w:snapToGrid w:val="0"/>
          <w:sz w:val="28"/>
          <w:szCs w:val="28"/>
        </w:rPr>
        <w:t>Medical Laboratories</w:t>
      </w:r>
    </w:p>
    <w:p w:rsidR="00CB6EAC" w:rsidRPr="00362495" w:rsidRDefault="00CB6EAC" w:rsidP="00CB6EAC">
      <w:pPr>
        <w:pStyle w:val="NoSpacing"/>
        <w:jc w:val="center"/>
        <w:outlineLvl w:val="0"/>
        <w:rPr>
          <w:rFonts w:ascii="Calibri" w:hAnsi="Calibri"/>
          <w:b/>
          <w:i/>
          <w:snapToGrid w:val="0"/>
          <w:sz w:val="28"/>
          <w:szCs w:val="28"/>
        </w:rPr>
      </w:pPr>
      <w:r w:rsidRPr="00362495">
        <w:rPr>
          <w:rFonts w:ascii="Calibri" w:hAnsi="Calibri"/>
          <w:b/>
          <w:i/>
          <w:snapToGrid w:val="0"/>
          <w:sz w:val="28"/>
          <w:szCs w:val="28"/>
        </w:rPr>
        <w:t>“Quality You Expect, Service You Deserve”</w:t>
      </w:r>
    </w:p>
    <w:p w:rsidR="00CB6EAC" w:rsidRPr="006B6F55" w:rsidRDefault="00CB6EAC" w:rsidP="00CB6EAC">
      <w:pPr>
        <w:pStyle w:val="NoSpacing"/>
        <w:jc w:val="center"/>
        <w:rPr>
          <w:rFonts w:ascii="Calibri" w:hAnsi="Calibri"/>
          <w:b/>
          <w:i/>
          <w:snapToGrid w:val="0"/>
          <w:sz w:val="26"/>
          <w:szCs w:val="26"/>
        </w:rPr>
      </w:pPr>
    </w:p>
    <w:p w:rsidR="00CB6EAC" w:rsidRPr="00634C2D" w:rsidRDefault="00CB6EAC" w:rsidP="00CB6EAC">
      <w:pPr>
        <w:keepNext/>
        <w:widowControl w:val="0"/>
        <w:jc w:val="center"/>
        <w:outlineLvl w:val="0"/>
        <w:rPr>
          <w:rFonts w:ascii="Calibri" w:hAnsi="Calibri"/>
          <w:b/>
          <w:i/>
          <w:snapToGrid w:val="0"/>
          <w:sz w:val="26"/>
          <w:szCs w:val="26"/>
          <w:u w:val="single"/>
        </w:rPr>
      </w:pPr>
      <w:r w:rsidRPr="00634C2D">
        <w:rPr>
          <w:rFonts w:ascii="Calibri" w:hAnsi="Calibri"/>
          <w:b/>
          <w:i/>
          <w:snapToGrid w:val="0"/>
          <w:sz w:val="26"/>
          <w:szCs w:val="26"/>
          <w:u w:val="single"/>
        </w:rPr>
        <w:t>LABORATORY MEDICINE UPDATE</w:t>
      </w:r>
    </w:p>
    <w:p w:rsidR="00CB6EAC" w:rsidRDefault="00CB6EAC" w:rsidP="00CB6EAC">
      <w:pPr>
        <w:spacing w:after="0" w:line="240" w:lineRule="auto"/>
        <w:jc w:val="center"/>
        <w:rPr>
          <w:rFonts w:ascii="Calibri" w:eastAsia="Times New Roman" w:hAnsi="Calibri"/>
          <w:bCs/>
          <w:sz w:val="26"/>
          <w:szCs w:val="26"/>
          <w:u w:val="single"/>
        </w:rPr>
      </w:pPr>
      <w:r>
        <w:rPr>
          <w:rFonts w:ascii="Calibri" w:eastAsia="Times New Roman" w:hAnsi="Calibri"/>
          <w:bCs/>
          <w:sz w:val="26"/>
          <w:szCs w:val="26"/>
          <w:u w:val="single"/>
        </w:rPr>
        <w:t>May 17</w:t>
      </w:r>
      <w:r w:rsidRPr="005B5A27">
        <w:rPr>
          <w:rFonts w:ascii="Calibri" w:eastAsia="Times New Roman" w:hAnsi="Calibri"/>
          <w:bCs/>
          <w:sz w:val="26"/>
          <w:szCs w:val="26"/>
          <w:u w:val="single"/>
        </w:rPr>
        <w:t>, 2017</w:t>
      </w:r>
    </w:p>
    <w:p w:rsidR="00CB6EAC" w:rsidRDefault="00CB6EAC" w:rsidP="008D7929">
      <w:pPr>
        <w:jc w:val="center"/>
        <w:rPr>
          <w:b/>
          <w:sz w:val="24"/>
          <w:szCs w:val="24"/>
        </w:rPr>
      </w:pPr>
    </w:p>
    <w:p w:rsidR="008D7929" w:rsidRPr="008D7929" w:rsidRDefault="008D7929" w:rsidP="00E204C7">
      <w:pPr>
        <w:spacing w:line="240" w:lineRule="auto"/>
        <w:jc w:val="center"/>
        <w:rPr>
          <w:sz w:val="24"/>
          <w:szCs w:val="24"/>
        </w:rPr>
      </w:pPr>
      <w:r w:rsidRPr="008D7929">
        <w:rPr>
          <w:b/>
          <w:sz w:val="24"/>
          <w:szCs w:val="24"/>
        </w:rPr>
        <w:t>CA 27.29 Test Change at Mayo Medical Laboratories</w:t>
      </w:r>
    </w:p>
    <w:p w:rsidR="008D7929" w:rsidRPr="008D7929" w:rsidRDefault="008D7929" w:rsidP="00E204C7">
      <w:pPr>
        <w:spacing w:line="240" w:lineRule="auto"/>
        <w:rPr>
          <w:rFonts w:cs="Times New Roman"/>
          <w:color w:val="010202"/>
          <w:sz w:val="24"/>
          <w:szCs w:val="24"/>
        </w:rPr>
      </w:pPr>
      <w:r w:rsidRPr="008D7929">
        <w:rPr>
          <w:rFonts w:cs="Times New Roman"/>
          <w:color w:val="010202"/>
          <w:sz w:val="24"/>
          <w:szCs w:val="24"/>
        </w:rPr>
        <w:t>On May 14, 2017, the highest reportable value for CA 27.29 from Mayo Medical Laboratories change</w:t>
      </w:r>
      <w:r w:rsidR="009215E2">
        <w:rPr>
          <w:rFonts w:cs="Times New Roman"/>
          <w:color w:val="010202"/>
          <w:sz w:val="24"/>
          <w:szCs w:val="24"/>
        </w:rPr>
        <w:t>d</w:t>
      </w:r>
      <w:r w:rsidRPr="008D7929">
        <w:rPr>
          <w:rFonts w:cs="Times New Roman"/>
          <w:color w:val="010202"/>
          <w:sz w:val="24"/>
          <w:szCs w:val="24"/>
        </w:rPr>
        <w:t xml:space="preserve"> to 450 U/mL.</w:t>
      </w:r>
    </w:p>
    <w:p w:rsidR="008D7929" w:rsidRPr="008D7929" w:rsidRDefault="008D7929" w:rsidP="00E204C7">
      <w:pPr>
        <w:autoSpaceDE w:val="0"/>
        <w:autoSpaceDN w:val="0"/>
        <w:adjustRightInd w:val="0"/>
        <w:spacing w:after="0" w:line="240" w:lineRule="auto"/>
        <w:rPr>
          <w:rFonts w:cs="Times New Roman"/>
          <w:color w:val="010202"/>
          <w:sz w:val="24"/>
          <w:szCs w:val="24"/>
        </w:rPr>
      </w:pPr>
      <w:r w:rsidRPr="008D7929">
        <w:rPr>
          <w:rFonts w:cs="Times New Roman"/>
          <w:color w:val="010202"/>
          <w:sz w:val="24"/>
          <w:szCs w:val="24"/>
        </w:rPr>
        <w:t xml:space="preserve">This change is due to notification from the assay manufacturer that the diluent required to extend the reportable range is no longer available. Results greater than 450 U/mL will be reported as &gt;450 U/mL. </w:t>
      </w:r>
      <w:r>
        <w:rPr>
          <w:rFonts w:cs="Times New Roman"/>
          <w:color w:val="010202"/>
          <w:sz w:val="24"/>
          <w:szCs w:val="24"/>
        </w:rPr>
        <w:t xml:space="preserve"> The prior reportable range was up to 9,000 U/mL.</w:t>
      </w:r>
    </w:p>
    <w:p w:rsidR="008D7929" w:rsidRPr="008D7929" w:rsidRDefault="008D7929" w:rsidP="00E204C7">
      <w:pPr>
        <w:autoSpaceDE w:val="0"/>
        <w:autoSpaceDN w:val="0"/>
        <w:adjustRightInd w:val="0"/>
        <w:spacing w:after="0" w:line="240" w:lineRule="auto"/>
        <w:rPr>
          <w:rFonts w:cs="Times New Roman"/>
          <w:color w:val="010202"/>
          <w:sz w:val="24"/>
          <w:szCs w:val="24"/>
        </w:rPr>
      </w:pPr>
    </w:p>
    <w:p w:rsidR="008D7929" w:rsidRPr="008D7929" w:rsidRDefault="008D7929" w:rsidP="00E204C7">
      <w:pPr>
        <w:autoSpaceDE w:val="0"/>
        <w:autoSpaceDN w:val="0"/>
        <w:adjustRightInd w:val="0"/>
        <w:spacing w:after="0" w:line="240" w:lineRule="auto"/>
        <w:rPr>
          <w:rFonts w:cs="Times New Roman"/>
          <w:color w:val="010202"/>
          <w:sz w:val="24"/>
          <w:szCs w:val="24"/>
        </w:rPr>
      </w:pPr>
      <w:r w:rsidRPr="008D7929">
        <w:rPr>
          <w:rFonts w:cs="Times New Roman"/>
          <w:color w:val="010202"/>
          <w:sz w:val="24"/>
          <w:szCs w:val="24"/>
        </w:rPr>
        <w:t>Please consider utilizing Cancer Antigen 15-3 (CA 15-3), available 24/7 from UVA Medical Laboratories as an alternat</w:t>
      </w:r>
      <w:r w:rsidR="00871E02">
        <w:rPr>
          <w:rFonts w:cs="Times New Roman"/>
          <w:color w:val="010202"/>
          <w:sz w:val="24"/>
          <w:szCs w:val="24"/>
        </w:rPr>
        <w:t>iv</w:t>
      </w:r>
      <w:r w:rsidRPr="008D7929">
        <w:rPr>
          <w:rFonts w:cs="Times New Roman"/>
          <w:color w:val="010202"/>
          <w:sz w:val="24"/>
          <w:szCs w:val="24"/>
        </w:rPr>
        <w:t>e tumor marker</w:t>
      </w:r>
      <w:r w:rsidR="00871E02">
        <w:rPr>
          <w:rFonts w:cs="Times New Roman"/>
          <w:color w:val="010202"/>
          <w:sz w:val="24"/>
          <w:szCs w:val="24"/>
        </w:rPr>
        <w:t>.</w:t>
      </w:r>
      <w:r w:rsidRPr="008D7929">
        <w:rPr>
          <w:rFonts w:cs="Times New Roman"/>
          <w:color w:val="010202"/>
          <w:sz w:val="24"/>
          <w:szCs w:val="24"/>
        </w:rPr>
        <w:t xml:space="preserve">  </w:t>
      </w:r>
      <w:r w:rsidR="00871E02">
        <w:rPr>
          <w:rFonts w:cs="Times New Roman"/>
          <w:color w:val="010202"/>
          <w:sz w:val="24"/>
          <w:szCs w:val="24"/>
        </w:rPr>
        <w:t>R</w:t>
      </w:r>
      <w:r w:rsidRPr="008D7929">
        <w:rPr>
          <w:rFonts w:cs="Times New Roman"/>
          <w:color w:val="010202"/>
          <w:sz w:val="24"/>
          <w:szCs w:val="24"/>
        </w:rPr>
        <w:t xml:space="preserve">e-baselining of </w:t>
      </w:r>
      <w:r w:rsidR="00871E02">
        <w:rPr>
          <w:rFonts w:cs="Times New Roman"/>
          <w:color w:val="010202"/>
          <w:sz w:val="24"/>
          <w:szCs w:val="24"/>
        </w:rPr>
        <w:t>and p</w:t>
      </w:r>
      <w:r w:rsidRPr="008D7929">
        <w:rPr>
          <w:rFonts w:cs="Times New Roman"/>
          <w:color w:val="010202"/>
          <w:sz w:val="24"/>
          <w:szCs w:val="24"/>
        </w:rPr>
        <w:t xml:space="preserve">arallel testing </w:t>
      </w:r>
      <w:r w:rsidR="00871E02">
        <w:rPr>
          <w:rFonts w:cs="Times New Roman"/>
          <w:color w:val="010202"/>
          <w:sz w:val="24"/>
          <w:szCs w:val="24"/>
        </w:rPr>
        <w:t xml:space="preserve">are available at </w:t>
      </w:r>
      <w:r w:rsidRPr="008D7929">
        <w:rPr>
          <w:rFonts w:cs="Times New Roman"/>
          <w:color w:val="010202"/>
          <w:sz w:val="24"/>
          <w:szCs w:val="24"/>
        </w:rPr>
        <w:t>no charge to your patient.  Contact the Clinical Chemistry Director on-call (pic 1657) to discuss.</w:t>
      </w:r>
    </w:p>
    <w:p w:rsidR="008D7929" w:rsidRPr="008D7929" w:rsidRDefault="008D7929" w:rsidP="00E204C7">
      <w:pPr>
        <w:autoSpaceDE w:val="0"/>
        <w:autoSpaceDN w:val="0"/>
        <w:adjustRightInd w:val="0"/>
        <w:spacing w:after="0" w:line="240" w:lineRule="auto"/>
        <w:rPr>
          <w:rFonts w:cs="Times New Roman"/>
          <w:color w:val="010202"/>
          <w:sz w:val="24"/>
          <w:szCs w:val="24"/>
        </w:rPr>
      </w:pPr>
    </w:p>
    <w:p w:rsidR="008D7929" w:rsidRPr="008D7929" w:rsidRDefault="008D7929" w:rsidP="00E204C7">
      <w:pPr>
        <w:spacing w:line="240" w:lineRule="auto"/>
        <w:jc w:val="center"/>
        <w:rPr>
          <w:b/>
          <w:color w:val="212121"/>
          <w:sz w:val="24"/>
          <w:szCs w:val="24"/>
        </w:rPr>
      </w:pPr>
    </w:p>
    <w:p w:rsidR="008D7929" w:rsidRPr="008D7929" w:rsidRDefault="008D7929" w:rsidP="00E204C7">
      <w:pPr>
        <w:spacing w:line="240" w:lineRule="auto"/>
        <w:jc w:val="center"/>
        <w:rPr>
          <w:b/>
          <w:color w:val="212121"/>
          <w:sz w:val="24"/>
          <w:szCs w:val="24"/>
        </w:rPr>
      </w:pPr>
      <w:r w:rsidRPr="008D7929">
        <w:rPr>
          <w:b/>
          <w:color w:val="212121"/>
          <w:sz w:val="24"/>
          <w:szCs w:val="24"/>
        </w:rPr>
        <w:t>Change in Blood Transfusion Consent Requirements</w:t>
      </w:r>
    </w:p>
    <w:p w:rsidR="008D7929" w:rsidRPr="008D7929" w:rsidRDefault="008D7929" w:rsidP="00E204C7">
      <w:pPr>
        <w:spacing w:line="240" w:lineRule="auto"/>
        <w:rPr>
          <w:color w:val="212121"/>
          <w:sz w:val="24"/>
          <w:szCs w:val="24"/>
        </w:rPr>
      </w:pPr>
      <w:r w:rsidRPr="008D7929">
        <w:rPr>
          <w:color w:val="212121"/>
          <w:sz w:val="24"/>
          <w:szCs w:val="24"/>
        </w:rPr>
        <w:t xml:space="preserve">The length of time a Blood Transfusion Consent is valid has changed effective 4/1/17. </w:t>
      </w:r>
    </w:p>
    <w:p w:rsidR="008D7929" w:rsidRPr="008D7929" w:rsidRDefault="008D7929" w:rsidP="00E204C7">
      <w:pPr>
        <w:numPr>
          <w:ilvl w:val="0"/>
          <w:numId w:val="1"/>
        </w:numPr>
        <w:spacing w:after="100" w:afterAutospacing="1" w:line="240" w:lineRule="auto"/>
        <w:rPr>
          <w:rFonts w:eastAsia="Times New Roman"/>
          <w:color w:val="212121"/>
          <w:sz w:val="24"/>
          <w:szCs w:val="24"/>
        </w:rPr>
      </w:pPr>
      <w:r w:rsidRPr="008D7929">
        <w:rPr>
          <w:rFonts w:eastAsia="Times New Roman"/>
          <w:color w:val="212121"/>
          <w:sz w:val="24"/>
          <w:szCs w:val="24"/>
        </w:rPr>
        <w:t xml:space="preserve">A new transfusion consent must be obtained for each inpatient hospitalization. </w:t>
      </w:r>
    </w:p>
    <w:p w:rsidR="008D7929" w:rsidRPr="008D7929" w:rsidRDefault="008D7929" w:rsidP="00E204C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  <w:color w:val="212121"/>
          <w:sz w:val="24"/>
          <w:szCs w:val="24"/>
        </w:rPr>
      </w:pPr>
      <w:r w:rsidRPr="008D7929">
        <w:rPr>
          <w:rFonts w:eastAsia="Times New Roman"/>
          <w:color w:val="212121"/>
          <w:sz w:val="24"/>
          <w:szCs w:val="24"/>
        </w:rPr>
        <w:t>A transfusion consent is valid only throughout a single inpatient hospitalization or 6 months, whichever is shorter.</w:t>
      </w:r>
    </w:p>
    <w:p w:rsidR="008D7929" w:rsidRPr="008D7929" w:rsidRDefault="008D7929" w:rsidP="00E204C7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8D7929">
        <w:rPr>
          <w:rFonts w:eastAsia="Times New Roman"/>
          <w:color w:val="212121"/>
          <w:sz w:val="24"/>
          <w:szCs w:val="24"/>
        </w:rPr>
        <w:t xml:space="preserve">In the case of ongoing administration of blood or blood components in an outpatient setting, informed consent must be obtained at a minimum </w:t>
      </w:r>
      <w:r w:rsidR="009215E2">
        <w:rPr>
          <w:rFonts w:eastAsia="Times New Roman"/>
          <w:color w:val="212121"/>
          <w:sz w:val="24"/>
          <w:szCs w:val="24"/>
        </w:rPr>
        <w:t>every</w:t>
      </w:r>
      <w:r w:rsidRPr="008D7929">
        <w:rPr>
          <w:rFonts w:eastAsia="Times New Roman"/>
          <w:color w:val="212121"/>
          <w:sz w:val="24"/>
          <w:szCs w:val="24"/>
        </w:rPr>
        <w:t xml:space="preserve"> six month</w:t>
      </w:r>
      <w:r w:rsidR="009215E2">
        <w:rPr>
          <w:rFonts w:eastAsia="Times New Roman"/>
          <w:color w:val="212121"/>
          <w:sz w:val="24"/>
          <w:szCs w:val="24"/>
        </w:rPr>
        <w:t>s</w:t>
      </w:r>
      <w:r w:rsidRPr="008D7929">
        <w:rPr>
          <w:rFonts w:eastAsia="Times New Roman"/>
          <w:color w:val="212121"/>
          <w:sz w:val="24"/>
          <w:szCs w:val="24"/>
        </w:rPr>
        <w:t>.</w:t>
      </w:r>
    </w:p>
    <w:p w:rsidR="008D7929" w:rsidRDefault="008D7929" w:rsidP="00E204C7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8D7929" w:rsidRDefault="008D7929" w:rsidP="00E204C7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Please call the Blood Bank</w:t>
      </w:r>
      <w:r w:rsidR="00FA5C79">
        <w:rPr>
          <w:sz w:val="24"/>
          <w:szCs w:val="24"/>
        </w:rPr>
        <w:t xml:space="preserve"> at 924-2273</w:t>
      </w:r>
      <w:r>
        <w:rPr>
          <w:sz w:val="24"/>
          <w:szCs w:val="24"/>
        </w:rPr>
        <w:t xml:space="preserve"> with questions.</w:t>
      </w:r>
    </w:p>
    <w:p w:rsidR="00E204C7" w:rsidRDefault="00E204C7" w:rsidP="00E204C7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E204C7" w:rsidRDefault="00E204C7" w:rsidP="00E204C7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E204C7" w:rsidRDefault="00E204C7" w:rsidP="00E204C7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Benzodiazepine Urine Drug Screen</w:t>
      </w:r>
    </w:p>
    <w:p w:rsidR="00E204C7" w:rsidRPr="00871E02" w:rsidRDefault="00E204C7" w:rsidP="00E204C7">
      <w:pPr>
        <w:spacing w:line="240" w:lineRule="auto"/>
        <w:rPr>
          <w:i/>
          <w:sz w:val="24"/>
          <w:szCs w:val="24"/>
        </w:rPr>
      </w:pPr>
      <w:r>
        <w:rPr>
          <w:sz w:val="24"/>
          <w:szCs w:val="24"/>
        </w:rPr>
        <w:t xml:space="preserve">The Medical Laboratory performs screening of urine for drugs of abuse and automatically reflexes positive samples for confirmation.  Because the screen assay for benzodiazepines </w:t>
      </w:r>
      <w:r w:rsidR="00871E02">
        <w:rPr>
          <w:sz w:val="24"/>
          <w:szCs w:val="24"/>
        </w:rPr>
        <w:t>can miss low concentrations of the drug, we have seen false-</w:t>
      </w:r>
      <w:r>
        <w:rPr>
          <w:sz w:val="24"/>
          <w:szCs w:val="24"/>
        </w:rPr>
        <w:t xml:space="preserve">negative results.   To address this issue the laboratory has established an indeterminate range for benzodiazepines.  If a sample falls within this range, then the screen result will be reported </w:t>
      </w:r>
      <w:r w:rsidRPr="002E2432">
        <w:rPr>
          <w:sz w:val="24"/>
          <w:szCs w:val="24"/>
        </w:rPr>
        <w:t>as</w:t>
      </w:r>
      <w:r w:rsidRPr="00871E02">
        <w:rPr>
          <w:sz w:val="24"/>
          <w:szCs w:val="24"/>
        </w:rPr>
        <w:t xml:space="preserve"> </w:t>
      </w:r>
      <w:r w:rsidR="00871E02">
        <w:rPr>
          <w:i/>
          <w:sz w:val="24"/>
          <w:szCs w:val="24"/>
        </w:rPr>
        <w:t>“</w:t>
      </w:r>
      <w:r w:rsidRPr="00871E02">
        <w:rPr>
          <w:i/>
          <w:sz w:val="24"/>
          <w:szCs w:val="24"/>
        </w:rPr>
        <w:t>Indeterminate, refer to confirmation results</w:t>
      </w:r>
      <w:r w:rsidR="00871E02">
        <w:rPr>
          <w:sz w:val="24"/>
          <w:szCs w:val="24"/>
        </w:rPr>
        <w:t>”</w:t>
      </w:r>
      <w:r>
        <w:rPr>
          <w:sz w:val="24"/>
          <w:szCs w:val="24"/>
        </w:rPr>
        <w:t xml:space="preserve"> and the sample will be reflexed for benzodiazepine confirmation.  If you get a negative screen result on a patient under contract for benzodiazepine and believe the patient is compliant with their treatment program please contact the Toxicology Laboratory (924-2029) to add on the confirmation test.</w:t>
      </w:r>
    </w:p>
    <w:p w:rsidR="009215E2" w:rsidRDefault="009215E2" w:rsidP="00E204C7">
      <w:pPr>
        <w:spacing w:line="240" w:lineRule="auto"/>
        <w:jc w:val="center"/>
        <w:rPr>
          <w:b/>
          <w:sz w:val="24"/>
          <w:szCs w:val="24"/>
        </w:rPr>
      </w:pPr>
    </w:p>
    <w:p w:rsidR="00E204C7" w:rsidRDefault="00E204C7" w:rsidP="00E204C7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Proper Collection of Blood Samples for Quantiferon Gold TB</w:t>
      </w:r>
    </w:p>
    <w:p w:rsidR="00E204C7" w:rsidRDefault="00E204C7" w:rsidP="00E204C7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The Me</w:t>
      </w:r>
      <w:r w:rsidR="00871E02">
        <w:rPr>
          <w:sz w:val="24"/>
          <w:szCs w:val="24"/>
        </w:rPr>
        <w:t>dical Laboratory offers a blood-</w:t>
      </w:r>
      <w:r>
        <w:rPr>
          <w:sz w:val="24"/>
          <w:szCs w:val="24"/>
        </w:rPr>
        <w:t>based assay to detect exposure to Mycobacterium tuberculosis.  The collection kit contains three unique tubes</w:t>
      </w:r>
      <w:r w:rsidR="00871E02">
        <w:rPr>
          <w:sz w:val="24"/>
          <w:szCs w:val="24"/>
        </w:rPr>
        <w:t xml:space="preserve"> – </w:t>
      </w:r>
      <w:r>
        <w:rPr>
          <w:sz w:val="24"/>
          <w:szCs w:val="24"/>
        </w:rPr>
        <w:t xml:space="preserve">grey top, red top, </w:t>
      </w:r>
      <w:r w:rsidR="00871E02">
        <w:rPr>
          <w:sz w:val="24"/>
          <w:szCs w:val="24"/>
        </w:rPr>
        <w:t xml:space="preserve">and </w:t>
      </w:r>
      <w:r>
        <w:rPr>
          <w:sz w:val="24"/>
          <w:szCs w:val="24"/>
        </w:rPr>
        <w:t>purple top</w:t>
      </w:r>
      <w:r w:rsidR="00871E02">
        <w:rPr>
          <w:sz w:val="24"/>
          <w:szCs w:val="24"/>
        </w:rPr>
        <w:t xml:space="preserve"> – </w:t>
      </w:r>
      <w:r>
        <w:rPr>
          <w:sz w:val="24"/>
          <w:szCs w:val="24"/>
        </w:rPr>
        <w:t>and they are not interchangeable with routine collection tubes</w:t>
      </w:r>
      <w:r w:rsidR="00871E02">
        <w:rPr>
          <w:sz w:val="24"/>
          <w:szCs w:val="24"/>
        </w:rPr>
        <w:t xml:space="preserve"> that have the same colored tops</w:t>
      </w:r>
      <w:r>
        <w:rPr>
          <w:sz w:val="24"/>
          <w:szCs w:val="24"/>
        </w:rPr>
        <w:t>.   The vacuum of these tubes is manufactured to collect 1 mL of blood with a range of 0.8 – 1.2 mL.  Each tube has a black line on the label to serve as a guide when collecting blood.  Over</w:t>
      </w:r>
      <w:r w:rsidR="00871E02">
        <w:rPr>
          <w:sz w:val="24"/>
          <w:szCs w:val="24"/>
        </w:rPr>
        <w:t>-filled and under-</w:t>
      </w:r>
      <w:r>
        <w:rPr>
          <w:sz w:val="24"/>
          <w:szCs w:val="24"/>
        </w:rPr>
        <w:t xml:space="preserve">filled tubes are not acceptable for analysis and will </w:t>
      </w:r>
      <w:r w:rsidR="00871E02">
        <w:rPr>
          <w:sz w:val="24"/>
          <w:szCs w:val="24"/>
        </w:rPr>
        <w:t xml:space="preserve">lead to the test </w:t>
      </w:r>
      <w:r>
        <w:rPr>
          <w:sz w:val="24"/>
          <w:szCs w:val="24"/>
        </w:rPr>
        <w:t>be</w:t>
      </w:r>
      <w:r w:rsidR="00871E02">
        <w:rPr>
          <w:sz w:val="24"/>
          <w:szCs w:val="24"/>
        </w:rPr>
        <w:t>ing</w:t>
      </w:r>
      <w:r>
        <w:rPr>
          <w:sz w:val="24"/>
          <w:szCs w:val="24"/>
        </w:rPr>
        <w:t xml:space="preserve"> cancelled.  Once the tubes are filled it is important to shake them firmly ten times to ensure the entire inner surface of the tube is coated.  When placing a specimen label on the tube please leave a “window” so the sample can be seen.  Refer to the pictures below.</w:t>
      </w:r>
    </w:p>
    <w:p w:rsidR="00E204C7" w:rsidRDefault="00E204C7" w:rsidP="00E204C7">
      <w:pPr>
        <w:spacing w:line="240" w:lineRule="auto"/>
        <w:rPr>
          <w:noProof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384A0C" wp14:editId="117D6B21">
                <wp:simplePos x="0" y="0"/>
                <wp:positionH relativeFrom="column">
                  <wp:posOffset>3741420</wp:posOffset>
                </wp:positionH>
                <wp:positionV relativeFrom="paragraph">
                  <wp:posOffset>2401570</wp:posOffset>
                </wp:positionV>
                <wp:extent cx="228600" cy="586740"/>
                <wp:effectExtent l="19050" t="19050" r="19050" b="22860"/>
                <wp:wrapNone/>
                <wp:docPr id="6" name="Up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586740"/>
                        </a:xfrm>
                        <a:prstGeom prst="up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Up Arrow 6" o:spid="_x0000_s1026" type="#_x0000_t68" style="position:absolute;margin-left:294.6pt;margin-top:189.1pt;width:18pt;height:46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" adj="4208" fillcolor="#4f81bd [3204]" strokecolor="#243f60 [1604]" strokeweight="2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839061" wp14:editId="3946A657">
                <wp:simplePos x="0" y="0"/>
                <wp:positionH relativeFrom="column">
                  <wp:posOffset>-350520</wp:posOffset>
                </wp:positionH>
                <wp:positionV relativeFrom="paragraph">
                  <wp:posOffset>1837690</wp:posOffset>
                </wp:positionV>
                <wp:extent cx="657860" cy="240665"/>
                <wp:effectExtent l="0" t="19050" r="46990" b="45085"/>
                <wp:wrapNone/>
                <wp:docPr id="5" name="Right Arrow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860" cy="24066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5" o:spid="_x0000_s1026" type="#_x0000_t13" style="position:absolute;margin-left:-27.6pt;margin-top:144.7pt;width:51.8pt;height:18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" adj="17649" fillcolor="#4f81bd [3204]" strokecolor="#243f60 [1604]" strokeweight="2pt"/>
            </w:pict>
          </mc:Fallback>
        </mc:AlternateContent>
      </w:r>
      <w:r>
        <w:rPr>
          <w:noProof/>
          <w:sz w:val="24"/>
          <w:szCs w:val="24"/>
        </w:rPr>
        <w:drawing>
          <wp:inline distT="0" distB="0" distL="0" distR="0" wp14:anchorId="66682DEC" wp14:editId="45B69A2A">
            <wp:extent cx="2567940" cy="2903220"/>
            <wp:effectExtent l="0" t="0" r="3810" b="0"/>
            <wp:docPr id="1" name="Picture 1" descr="F:\MyPictures\2017-05-11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MyPictures\2017-05-11\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0717" cy="2906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t xml:space="preserve">                     </w:t>
      </w:r>
      <w:r>
        <w:rPr>
          <w:noProof/>
          <w:sz w:val="24"/>
          <w:szCs w:val="24"/>
        </w:rPr>
        <w:drawing>
          <wp:inline distT="0" distB="0" distL="0" distR="0" wp14:anchorId="09451886" wp14:editId="3ACA894C">
            <wp:extent cx="2278380" cy="2895600"/>
            <wp:effectExtent l="0" t="0" r="7620" b="0"/>
            <wp:docPr id="3" name="Picture 3" descr="F:\MyPictures\2017-05-11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MyPictures\2017-05-11\00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0379" cy="289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04C7" w:rsidRPr="00974446" w:rsidRDefault="00E204C7" w:rsidP="00E204C7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Empty tubes with black fill line on label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Labeled tubes with clear view of sample</w:t>
      </w:r>
    </w:p>
    <w:p w:rsidR="00E204C7" w:rsidRPr="008D7929" w:rsidRDefault="00E204C7" w:rsidP="00E204C7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sectPr w:rsidR="00E204C7" w:rsidRPr="008D7929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EB5" w:rsidRDefault="00BE4EB5" w:rsidP="009215E2">
      <w:pPr>
        <w:spacing w:after="0" w:line="240" w:lineRule="auto"/>
      </w:pPr>
      <w:r>
        <w:separator/>
      </w:r>
    </w:p>
  </w:endnote>
  <w:endnote w:type="continuationSeparator" w:id="0">
    <w:p w:rsidR="00BE4EB5" w:rsidRDefault="00BE4EB5" w:rsidP="009215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5E2" w:rsidRPr="009215E2" w:rsidRDefault="009215E2" w:rsidP="009215E2">
    <w:pPr>
      <w:pStyle w:val="Footer"/>
      <w:jc w:val="center"/>
    </w:pPr>
    <w:r w:rsidRPr="009215E2">
      <w:t xml:space="preserve">Page </w:t>
    </w:r>
    <w:r w:rsidRPr="009215E2">
      <w:fldChar w:fldCharType="begin"/>
    </w:r>
    <w:r w:rsidRPr="009215E2">
      <w:instrText xml:space="preserve"> PAGE  \* Arabic  \* MERGEFORMAT </w:instrText>
    </w:r>
    <w:r w:rsidRPr="009215E2">
      <w:fldChar w:fldCharType="separate"/>
    </w:r>
    <w:r w:rsidR="00940E36">
      <w:rPr>
        <w:noProof/>
      </w:rPr>
      <w:t>1</w:t>
    </w:r>
    <w:r w:rsidRPr="009215E2">
      <w:fldChar w:fldCharType="end"/>
    </w:r>
    <w:r w:rsidRPr="009215E2">
      <w:t xml:space="preserve"> of </w:t>
    </w:r>
    <w:fldSimple w:instr=" NUMPAGES  \* Arabic  \* MERGEFORMAT ">
      <w:r w:rsidR="00940E36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EB5" w:rsidRDefault="00BE4EB5" w:rsidP="009215E2">
      <w:pPr>
        <w:spacing w:after="0" w:line="240" w:lineRule="auto"/>
      </w:pPr>
      <w:r>
        <w:separator/>
      </w:r>
    </w:p>
  </w:footnote>
  <w:footnote w:type="continuationSeparator" w:id="0">
    <w:p w:rsidR="00BE4EB5" w:rsidRDefault="00BE4EB5" w:rsidP="009215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6E2FAF"/>
    <w:multiLevelType w:val="multilevel"/>
    <w:tmpl w:val="12F6E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7929"/>
    <w:rsid w:val="00871E02"/>
    <w:rsid w:val="008D7929"/>
    <w:rsid w:val="009215E2"/>
    <w:rsid w:val="00940E36"/>
    <w:rsid w:val="00BE4EB5"/>
    <w:rsid w:val="00C2799E"/>
    <w:rsid w:val="00CB6EAC"/>
    <w:rsid w:val="00D749C5"/>
    <w:rsid w:val="00E204C7"/>
    <w:rsid w:val="00E83D3E"/>
    <w:rsid w:val="00FA5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7929"/>
    <w:pPr>
      <w:ind w:left="720"/>
      <w:contextualSpacing/>
    </w:pPr>
  </w:style>
  <w:style w:type="paragraph" w:styleId="NoSpacing">
    <w:name w:val="No Spacing"/>
    <w:uiPriority w:val="99"/>
    <w:qFormat/>
    <w:rsid w:val="00CB6EAC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6E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6EA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215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15E2"/>
  </w:style>
  <w:style w:type="paragraph" w:styleId="Footer">
    <w:name w:val="footer"/>
    <w:basedOn w:val="Normal"/>
    <w:link w:val="FooterChar"/>
    <w:uiPriority w:val="99"/>
    <w:unhideWhenUsed/>
    <w:rsid w:val="009215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15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7929"/>
    <w:pPr>
      <w:ind w:left="720"/>
      <w:contextualSpacing/>
    </w:pPr>
  </w:style>
  <w:style w:type="paragraph" w:styleId="NoSpacing">
    <w:name w:val="No Spacing"/>
    <w:uiPriority w:val="99"/>
    <w:qFormat/>
    <w:rsid w:val="00CB6EAC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6E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6EA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215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15E2"/>
  </w:style>
  <w:style w:type="paragraph" w:styleId="Footer">
    <w:name w:val="footer"/>
    <w:basedOn w:val="Normal"/>
    <w:link w:val="FooterChar"/>
    <w:uiPriority w:val="99"/>
    <w:unhideWhenUsed/>
    <w:rsid w:val="009215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15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49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480</Words>
  <Characters>2740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UVA Health System</Company>
  <LinksUpToDate>false</LinksUpToDate>
  <CharactersWithSpaces>3214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dmh2t</dc:creator>
  <cp:lastModifiedBy>Pannell, Christy W *HS</cp:lastModifiedBy>
  <cp:revision>2</cp:revision>
  <cp:lastPrinted>2017-05-17T14:17:00Z</cp:lastPrinted>
  <dcterms:created xsi:type="dcterms:W3CDTF">2017-05-17T14:17:00Z</dcterms:created>
  <dcterms:modified xsi:type="dcterms:W3CDTF">2017-05-17T14:17:00Z</dcterms:modified>
</cp:coreProperties>
</file>