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3BA0" w:rsidRPr="006B6F55" w:rsidRDefault="007D3BA0" w:rsidP="007D3BA0">
      <w:pPr>
        <w:pStyle w:val="NoSpacing"/>
        <w:jc w:val="center"/>
        <w:outlineLvl w:val="0"/>
        <w:rPr>
          <w:rFonts w:ascii="Calibri" w:hAnsi="Calibri"/>
          <w:sz w:val="26"/>
          <w:szCs w:val="26"/>
        </w:rPr>
      </w:pPr>
      <w:bookmarkStart w:id="0" w:name="_GoBack"/>
      <w:bookmarkEnd w:id="0"/>
      <w:r w:rsidRPr="006B6F55">
        <w:rPr>
          <w:rFonts w:ascii="Calibri" w:hAnsi="Calibri"/>
          <w:sz w:val="26"/>
          <w:szCs w:val="26"/>
        </w:rPr>
        <w:t>University of Virginia Health System</w:t>
      </w:r>
    </w:p>
    <w:p w:rsidR="007D3BA0" w:rsidRPr="006B6F55" w:rsidRDefault="007D3BA0" w:rsidP="007D3BA0">
      <w:pPr>
        <w:pStyle w:val="NoSpacing"/>
        <w:jc w:val="center"/>
        <w:outlineLvl w:val="0"/>
        <w:rPr>
          <w:rFonts w:ascii="Calibri" w:hAnsi="Calibri"/>
          <w:b/>
          <w:snapToGrid w:val="0"/>
          <w:sz w:val="26"/>
          <w:szCs w:val="26"/>
        </w:rPr>
      </w:pPr>
      <w:r w:rsidRPr="006B6F55">
        <w:rPr>
          <w:rFonts w:ascii="Calibri" w:hAnsi="Calibri"/>
          <w:b/>
          <w:snapToGrid w:val="0"/>
          <w:sz w:val="26"/>
          <w:szCs w:val="26"/>
        </w:rPr>
        <w:t>Medical Laboratories</w:t>
      </w:r>
    </w:p>
    <w:p w:rsidR="007D3BA0" w:rsidRPr="006B6F55" w:rsidRDefault="007D3BA0" w:rsidP="007D3BA0">
      <w:pPr>
        <w:pStyle w:val="NoSpacing"/>
        <w:jc w:val="center"/>
        <w:outlineLvl w:val="0"/>
        <w:rPr>
          <w:rFonts w:ascii="Calibri" w:hAnsi="Calibri"/>
          <w:b/>
          <w:i/>
          <w:snapToGrid w:val="0"/>
          <w:sz w:val="26"/>
          <w:szCs w:val="26"/>
        </w:rPr>
      </w:pPr>
      <w:r w:rsidRPr="006B6F55">
        <w:rPr>
          <w:rFonts w:ascii="Calibri" w:hAnsi="Calibri"/>
          <w:b/>
          <w:i/>
          <w:snapToGrid w:val="0"/>
          <w:sz w:val="26"/>
          <w:szCs w:val="26"/>
        </w:rPr>
        <w:t>“Quality You Expect, Service You Deserve”</w:t>
      </w:r>
    </w:p>
    <w:p w:rsidR="007D3BA0" w:rsidRPr="006B6F55" w:rsidRDefault="007D3BA0" w:rsidP="007D3BA0">
      <w:pPr>
        <w:pStyle w:val="NoSpacing"/>
        <w:jc w:val="center"/>
        <w:rPr>
          <w:rFonts w:ascii="Calibri" w:hAnsi="Calibri"/>
          <w:b/>
          <w:i/>
          <w:snapToGrid w:val="0"/>
          <w:sz w:val="26"/>
          <w:szCs w:val="26"/>
        </w:rPr>
      </w:pPr>
    </w:p>
    <w:p w:rsidR="007D3BA0" w:rsidRPr="006B6F55" w:rsidRDefault="007D3BA0" w:rsidP="007D3BA0">
      <w:pPr>
        <w:keepNext/>
        <w:widowControl w:val="0"/>
        <w:jc w:val="center"/>
        <w:outlineLvl w:val="0"/>
        <w:rPr>
          <w:rFonts w:ascii="Calibri" w:hAnsi="Calibri"/>
          <w:b/>
          <w:i/>
          <w:snapToGrid w:val="0"/>
          <w:sz w:val="26"/>
          <w:szCs w:val="26"/>
          <w:u w:val="single"/>
        </w:rPr>
      </w:pPr>
      <w:r w:rsidRPr="006B6F55">
        <w:rPr>
          <w:rFonts w:ascii="Calibri" w:hAnsi="Calibri"/>
          <w:b/>
          <w:i/>
          <w:snapToGrid w:val="0"/>
          <w:sz w:val="26"/>
          <w:szCs w:val="26"/>
          <w:u w:val="single"/>
        </w:rPr>
        <w:t>LABORATORY MEDICINE UPDATE</w:t>
      </w:r>
    </w:p>
    <w:p w:rsidR="007D3BA0" w:rsidRDefault="007D3BA0" w:rsidP="007D3BA0">
      <w:pPr>
        <w:spacing w:before="100" w:beforeAutospacing="1" w:after="100" w:afterAutospacing="1" w:line="240" w:lineRule="auto"/>
        <w:jc w:val="center"/>
        <w:rPr>
          <w:rFonts w:eastAsia="Times New Roman" w:cs="Times New Roman"/>
          <w:b/>
        </w:rPr>
      </w:pPr>
      <w:r>
        <w:rPr>
          <w:snapToGrid w:val="0"/>
          <w:sz w:val="26"/>
          <w:szCs w:val="26"/>
          <w:u w:val="single"/>
        </w:rPr>
        <w:t>March 4</w:t>
      </w:r>
      <w:r w:rsidRPr="006B6F55">
        <w:rPr>
          <w:snapToGrid w:val="0"/>
          <w:sz w:val="26"/>
          <w:szCs w:val="26"/>
          <w:u w:val="single"/>
        </w:rPr>
        <w:t>, 2016</w:t>
      </w:r>
    </w:p>
    <w:p w:rsidR="00411514" w:rsidRPr="007D3BA0" w:rsidRDefault="00411514" w:rsidP="007D3BA0">
      <w:pPr>
        <w:spacing w:line="240" w:lineRule="auto"/>
        <w:jc w:val="center"/>
        <w:rPr>
          <w:b/>
          <w:sz w:val="24"/>
          <w:szCs w:val="24"/>
        </w:rPr>
      </w:pPr>
      <w:r w:rsidRPr="007D3BA0">
        <w:rPr>
          <w:b/>
          <w:sz w:val="24"/>
          <w:szCs w:val="24"/>
        </w:rPr>
        <w:t>Retrieval of Miscellaneous Send Out Results in Epic</w:t>
      </w:r>
    </w:p>
    <w:p w:rsidR="00411514" w:rsidRPr="007D3BA0" w:rsidRDefault="00411514" w:rsidP="007D3BA0">
      <w:pPr>
        <w:spacing w:line="240" w:lineRule="auto"/>
        <w:rPr>
          <w:sz w:val="24"/>
          <w:szCs w:val="24"/>
        </w:rPr>
      </w:pPr>
      <w:r w:rsidRPr="007D3BA0">
        <w:rPr>
          <w:sz w:val="24"/>
          <w:szCs w:val="24"/>
        </w:rPr>
        <w:t>A new process has been implemented to more rapidly provide results received by FAX from reference laboratories (including the State Lab) to the EMR.  Directions for the new process are to click on Chart Review and then Labs tab.  A scanned result will have the paperclip icon next to it.</w:t>
      </w:r>
    </w:p>
    <w:p w:rsidR="00411514" w:rsidRPr="007D3BA0" w:rsidRDefault="00411514" w:rsidP="007D3BA0">
      <w:pPr>
        <w:spacing w:line="240" w:lineRule="auto"/>
        <w:rPr>
          <w:sz w:val="24"/>
          <w:szCs w:val="24"/>
        </w:rPr>
      </w:pPr>
      <w:r w:rsidRPr="007D3BA0">
        <w:rPr>
          <w:noProof/>
          <w:sz w:val="24"/>
          <w:szCs w:val="24"/>
        </w:rPr>
        <mc:AlternateContent>
          <mc:Choice Requires="wps">
            <w:drawing>
              <wp:anchor distT="0" distB="0" distL="114300" distR="114300" simplePos="0" relativeHeight="251659264" behindDoc="0" locked="0" layoutInCell="1" allowOverlap="1" wp14:anchorId="4DCB4864" wp14:editId="0AA4F0FC">
                <wp:simplePos x="0" y="0"/>
                <wp:positionH relativeFrom="column">
                  <wp:posOffset>238125</wp:posOffset>
                </wp:positionH>
                <wp:positionV relativeFrom="paragraph">
                  <wp:posOffset>-123825</wp:posOffset>
                </wp:positionV>
                <wp:extent cx="466725" cy="352425"/>
                <wp:effectExtent l="38100" t="19050" r="66675" b="104775"/>
                <wp:wrapNone/>
                <wp:docPr id="7" name="Straight Arrow Connector 7"/>
                <wp:cNvGraphicFramePr/>
                <a:graphic xmlns:a="http://schemas.openxmlformats.org/drawingml/2006/main">
                  <a:graphicData uri="http://schemas.microsoft.com/office/word/2010/wordprocessingShape">
                    <wps:wsp>
                      <wps:cNvCnPr/>
                      <wps:spPr>
                        <a:xfrm flipH="1">
                          <a:off x="0" y="0"/>
                          <a:ext cx="466725" cy="3524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7" o:spid="_x0000_s1026" type="#_x0000_t32" style="position:absolute;margin-left:18.75pt;margin-top:-9.75pt;width:36.75pt;height:27.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" strokecolor="black [3200]" strokeweight="2pt">
                <v:stroke endarrow="open"/>
                <v:shadow on="t" color="black" opacity="24903f" origin=",.5" offset="0,.55556mm"/>
              </v:shape>
            </w:pict>
          </mc:Fallback>
        </mc:AlternateContent>
      </w:r>
      <w:r w:rsidRPr="007D3BA0">
        <w:rPr>
          <w:noProof/>
          <w:sz w:val="24"/>
          <w:szCs w:val="24"/>
        </w:rPr>
        <mc:AlternateContent>
          <mc:Choice Requires="wps">
            <w:drawing>
              <wp:anchor distT="0" distB="0" distL="114300" distR="114300" simplePos="0" relativeHeight="251663360" behindDoc="0" locked="0" layoutInCell="1" allowOverlap="1" wp14:anchorId="74BDA00D" wp14:editId="29B20EE1">
                <wp:simplePos x="0" y="0"/>
                <wp:positionH relativeFrom="column">
                  <wp:posOffset>1409700</wp:posOffset>
                </wp:positionH>
                <wp:positionV relativeFrom="paragraph">
                  <wp:posOffset>-304800</wp:posOffset>
                </wp:positionV>
                <wp:extent cx="408940" cy="390525"/>
                <wp:effectExtent l="57150" t="19050" r="67310" b="85725"/>
                <wp:wrapNone/>
                <wp:docPr id="12" name="Straight Arrow Connector 12"/>
                <wp:cNvGraphicFramePr/>
                <a:graphic xmlns:a="http://schemas.openxmlformats.org/drawingml/2006/main">
                  <a:graphicData uri="http://schemas.microsoft.com/office/word/2010/wordprocessingShape">
                    <wps:wsp>
                      <wps:cNvCnPr/>
                      <wps:spPr>
                        <a:xfrm flipH="1">
                          <a:off x="0" y="0"/>
                          <a:ext cx="408940" cy="3905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2" o:spid="_x0000_s1026" type="#_x0000_t32" style="position:absolute;margin-left:111pt;margin-top:-24pt;width:32.2pt;height:30.7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" strokecolor="black [3200]" strokeweight="2pt">
                <v:stroke endarrow="open"/>
                <v:shadow on="t" color="black" opacity="24903f" origin=",.5" offset="0,.55556mm"/>
              </v:shape>
            </w:pict>
          </mc:Fallback>
        </mc:AlternateContent>
      </w:r>
      <w:r w:rsidRPr="007D3BA0">
        <w:rPr>
          <w:noProof/>
          <w:sz w:val="24"/>
          <w:szCs w:val="24"/>
        </w:rPr>
        <mc:AlternateContent>
          <mc:Choice Requires="wps">
            <w:drawing>
              <wp:anchor distT="0" distB="0" distL="114300" distR="114300" simplePos="0" relativeHeight="251660288" behindDoc="0" locked="0" layoutInCell="1" allowOverlap="1" wp14:anchorId="2EF1A6D4" wp14:editId="0799EBBC">
                <wp:simplePos x="0" y="0"/>
                <wp:positionH relativeFrom="column">
                  <wp:posOffset>704850</wp:posOffset>
                </wp:positionH>
                <wp:positionV relativeFrom="paragraph">
                  <wp:posOffset>228600</wp:posOffset>
                </wp:positionV>
                <wp:extent cx="704215" cy="476250"/>
                <wp:effectExtent l="57150" t="19050" r="57785" b="95250"/>
                <wp:wrapNone/>
                <wp:docPr id="9" name="Straight Arrow Connector 9"/>
                <wp:cNvGraphicFramePr/>
                <a:graphic xmlns:a="http://schemas.openxmlformats.org/drawingml/2006/main">
                  <a:graphicData uri="http://schemas.microsoft.com/office/word/2010/wordprocessingShape">
                    <wps:wsp>
                      <wps:cNvCnPr/>
                      <wps:spPr>
                        <a:xfrm flipH="1">
                          <a:off x="0" y="0"/>
                          <a:ext cx="704215" cy="4762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9" o:spid="_x0000_s1026" type="#_x0000_t32" style="position:absolute;margin-left:55.5pt;margin-top:18pt;width:55.45pt;height:37.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" strokecolor="black [3200]" strokeweight="2pt">
                <v:stroke endarrow="open"/>
                <v:shadow on="t" color="black" opacity="24903f" origin=",.5" offset="0,.55556mm"/>
              </v:shape>
            </w:pict>
          </mc:Fallback>
        </mc:AlternateContent>
      </w:r>
      <w:r w:rsidRPr="007D3BA0">
        <w:rPr>
          <w:noProof/>
          <w:sz w:val="24"/>
          <w:szCs w:val="24"/>
        </w:rPr>
        <w:drawing>
          <wp:inline distT="0" distB="0" distL="0" distR="0" wp14:anchorId="36F5412C" wp14:editId="79D1FF76">
            <wp:extent cx="5772150" cy="240884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31410" t="11965" r="1003" b="37893"/>
                    <a:stretch/>
                  </pic:blipFill>
                  <pic:spPr bwMode="auto">
                    <a:xfrm>
                      <a:off x="0" y="0"/>
                      <a:ext cx="5774496" cy="2409825"/>
                    </a:xfrm>
                    <a:prstGeom prst="rect">
                      <a:avLst/>
                    </a:prstGeom>
                    <a:ln>
                      <a:noFill/>
                    </a:ln>
                    <a:extLst>
                      <a:ext uri="{53640926-AAD7-44D8-BBD7-CCE9431645EC}">
                        <a14:shadowObscured xmlns:a14="http://schemas.microsoft.com/office/drawing/2010/main"/>
                      </a:ext>
                    </a:extLst>
                  </pic:spPr>
                </pic:pic>
              </a:graphicData>
            </a:graphic>
          </wp:inline>
        </w:drawing>
      </w:r>
    </w:p>
    <w:p w:rsidR="00411514" w:rsidRPr="007D3BA0" w:rsidRDefault="00411514" w:rsidP="007D3BA0">
      <w:pPr>
        <w:spacing w:line="240" w:lineRule="auto"/>
        <w:rPr>
          <w:sz w:val="24"/>
          <w:szCs w:val="24"/>
        </w:rPr>
      </w:pPr>
      <w:r w:rsidRPr="007D3BA0">
        <w:rPr>
          <w:sz w:val="24"/>
          <w:szCs w:val="24"/>
        </w:rPr>
        <w:t>Click once and the result will open up.  If “Results” is not apparent, scroll down and then click on the line below.  This will automatically open the document without the need to search through “Scanned Documents”</w:t>
      </w:r>
    </w:p>
    <w:p w:rsidR="00411514" w:rsidRPr="007D3BA0" w:rsidRDefault="00411514" w:rsidP="007D3BA0">
      <w:pPr>
        <w:spacing w:line="240" w:lineRule="auto"/>
        <w:rPr>
          <w:sz w:val="24"/>
          <w:szCs w:val="24"/>
        </w:rPr>
      </w:pPr>
    </w:p>
    <w:p w:rsidR="00411514" w:rsidRPr="007D3BA0" w:rsidRDefault="00FA5855" w:rsidP="007D3BA0">
      <w:pPr>
        <w:spacing w:line="240" w:lineRule="auto"/>
        <w:rPr>
          <w:sz w:val="24"/>
          <w:szCs w:val="24"/>
        </w:rPr>
      </w:pPr>
      <w:r w:rsidRPr="007D3BA0">
        <w:rPr>
          <w:noProof/>
          <w:sz w:val="24"/>
          <w:szCs w:val="24"/>
        </w:rPr>
        <mc:AlternateContent>
          <mc:Choice Requires="wps">
            <w:drawing>
              <wp:anchor distT="0" distB="0" distL="114300" distR="114300" simplePos="0" relativeHeight="251662336" behindDoc="0" locked="0" layoutInCell="1" allowOverlap="1" wp14:anchorId="467F55FB" wp14:editId="1E12528E">
                <wp:simplePos x="0" y="0"/>
                <wp:positionH relativeFrom="column">
                  <wp:posOffset>4324350</wp:posOffset>
                </wp:positionH>
                <wp:positionV relativeFrom="paragraph">
                  <wp:posOffset>770890</wp:posOffset>
                </wp:positionV>
                <wp:extent cx="1285875" cy="1000125"/>
                <wp:effectExtent l="57150" t="19050" r="66675" b="85725"/>
                <wp:wrapNone/>
                <wp:docPr id="11" name="Straight Arrow Connector 11"/>
                <wp:cNvGraphicFramePr/>
                <a:graphic xmlns:a="http://schemas.openxmlformats.org/drawingml/2006/main">
                  <a:graphicData uri="http://schemas.microsoft.com/office/word/2010/wordprocessingShape">
                    <wps:wsp>
                      <wps:cNvCnPr/>
                      <wps:spPr>
                        <a:xfrm flipH="1">
                          <a:off x="0" y="0"/>
                          <a:ext cx="1285875" cy="10001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11" o:spid="_x0000_s1026" type="#_x0000_t32" style="position:absolute;margin-left:340.5pt;margin-top:60.7pt;width:101.25pt;height:78.75pt;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" strokecolor="black [3200]" strokeweight="2pt">
                <v:stroke endarrow="open"/>
                <v:shadow on="t" color="black" opacity="24903f" origin=",.5" offset="0,.55556mm"/>
              </v:shape>
            </w:pict>
          </mc:Fallback>
        </mc:AlternateContent>
      </w:r>
      <w:r w:rsidR="00411514" w:rsidRPr="007D3BA0">
        <w:rPr>
          <w:noProof/>
          <w:sz w:val="24"/>
          <w:szCs w:val="24"/>
        </w:rPr>
        <mc:AlternateContent>
          <mc:Choice Requires="wps">
            <w:drawing>
              <wp:anchor distT="0" distB="0" distL="114300" distR="114300" simplePos="0" relativeHeight="251664384" behindDoc="0" locked="0" layoutInCell="1" allowOverlap="1" wp14:anchorId="6BBF41A2" wp14:editId="2345C410">
                <wp:simplePos x="0" y="0"/>
                <wp:positionH relativeFrom="column">
                  <wp:posOffset>4895850</wp:posOffset>
                </wp:positionH>
                <wp:positionV relativeFrom="paragraph">
                  <wp:posOffset>466726</wp:posOffset>
                </wp:positionV>
                <wp:extent cx="1333500" cy="476250"/>
                <wp:effectExtent l="0" t="0" r="19050" b="19050"/>
                <wp:wrapNone/>
                <wp:docPr id="13" name="Text Box 13"/>
                <wp:cNvGraphicFramePr/>
                <a:graphic xmlns:a="http://schemas.openxmlformats.org/drawingml/2006/main">
                  <a:graphicData uri="http://schemas.microsoft.com/office/word/2010/wordprocessingShape">
                    <wps:wsp>
                      <wps:cNvSpPr txBox="1"/>
                      <wps:spPr>
                        <a:xfrm>
                          <a:off x="0" y="0"/>
                          <a:ext cx="1333500" cy="476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1514" w:rsidRDefault="00411514" w:rsidP="00411514">
                            <w:r>
                              <w:t>Click here to open the document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margin-left:385.5pt;margin-top:36.75pt;width:105pt;height: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" fillcolor="white [3201]" strokeweight=".5pt">
                <v:textbox>
                  <w:txbxContent>
                    <w:p w:rsidR="00411514" w:rsidRDefault="00411514" w:rsidP="00411514">
                      <w:r>
                        <w:t>Click here to open the document</w:t>
                      </w:r>
                    </w:p>
                  </w:txbxContent>
                </v:textbox>
              </v:shape>
            </w:pict>
          </mc:Fallback>
        </mc:AlternateContent>
      </w:r>
      <w:r w:rsidR="00411514" w:rsidRPr="007D3BA0">
        <w:rPr>
          <w:noProof/>
          <w:sz w:val="24"/>
          <w:szCs w:val="24"/>
        </w:rPr>
        <w:drawing>
          <wp:inline distT="0" distB="0" distL="0" distR="0" wp14:anchorId="17895EBB" wp14:editId="0C03E28F">
            <wp:extent cx="5857875" cy="23622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31891" t="11111" r="1121" b="40866"/>
                    <a:stretch/>
                  </pic:blipFill>
                  <pic:spPr bwMode="auto">
                    <a:xfrm>
                      <a:off x="0" y="0"/>
                      <a:ext cx="5857875" cy="2362200"/>
                    </a:xfrm>
                    <a:prstGeom prst="rect">
                      <a:avLst/>
                    </a:prstGeom>
                    <a:ln>
                      <a:noFill/>
                    </a:ln>
                    <a:extLst>
                      <a:ext uri="{53640926-AAD7-44D8-BBD7-CCE9431645EC}">
                        <a14:shadowObscured xmlns:a14="http://schemas.microsoft.com/office/drawing/2010/main"/>
                      </a:ext>
                    </a:extLst>
                  </pic:spPr>
                </pic:pic>
              </a:graphicData>
            </a:graphic>
          </wp:inline>
        </w:drawing>
      </w:r>
    </w:p>
    <w:p w:rsidR="00E714AE" w:rsidRPr="007D3BA0" w:rsidRDefault="00E714AE" w:rsidP="00E714AE">
      <w:pPr>
        <w:spacing w:line="240" w:lineRule="auto"/>
        <w:jc w:val="center"/>
        <w:rPr>
          <w:sz w:val="24"/>
          <w:szCs w:val="24"/>
        </w:rPr>
      </w:pPr>
      <w:r w:rsidRPr="007D3BA0">
        <w:rPr>
          <w:b/>
          <w:sz w:val="24"/>
          <w:szCs w:val="24"/>
        </w:rPr>
        <w:lastRenderedPageBreak/>
        <w:t>Glucose Critical Value change</w:t>
      </w:r>
    </w:p>
    <w:p w:rsidR="00E714AE" w:rsidRPr="007D3BA0" w:rsidRDefault="00E714AE" w:rsidP="00E714AE">
      <w:pPr>
        <w:spacing w:line="240" w:lineRule="auto"/>
        <w:rPr>
          <w:sz w:val="24"/>
          <w:szCs w:val="24"/>
        </w:rPr>
      </w:pPr>
      <w:r w:rsidRPr="007D3BA0">
        <w:rPr>
          <w:sz w:val="24"/>
          <w:szCs w:val="24"/>
        </w:rPr>
        <w:t>The Patient Care Committee has approved a change in the critical value for glucose.  For patients greater than or equal to 28 days of age, results of greater than 600 mg/dL are considered critical and will be called to the ordering physician.</w:t>
      </w:r>
    </w:p>
    <w:p w:rsidR="00E714AE" w:rsidRPr="007D3BA0" w:rsidRDefault="00E714AE" w:rsidP="00E714AE">
      <w:pPr>
        <w:spacing w:line="240" w:lineRule="auto"/>
        <w:jc w:val="center"/>
        <w:rPr>
          <w:sz w:val="24"/>
          <w:szCs w:val="24"/>
        </w:rPr>
      </w:pPr>
      <w:r w:rsidRPr="007D3BA0">
        <w:rPr>
          <w:b/>
          <w:sz w:val="24"/>
          <w:szCs w:val="24"/>
        </w:rPr>
        <w:t>“Timed” Blood Draws</w:t>
      </w:r>
    </w:p>
    <w:p w:rsidR="00025E09" w:rsidRPr="00025E09" w:rsidRDefault="00025E09" w:rsidP="00025E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025E09">
        <w:rPr>
          <w:rFonts w:eastAsia="Times New Roman" w:cs="Courier New"/>
          <w:sz w:val="24"/>
          <w:szCs w:val="24"/>
        </w:rPr>
        <w:t xml:space="preserve">The phlebotomy team has an established window of time to obtain blood draws requested for a specific time.  Please be aware that timed blood draws should be limited to drug levels, direct admit labs, and tests that might be affected by treatment.  The established window is the requested time ± 30 minutes for drug levels and ± 60 minutes for other tests.  This is a quality metric tracked by UVA Medical Laboratories and we are currently at approximately 80% compliance.  </w:t>
      </w:r>
    </w:p>
    <w:p w:rsidR="00025E09" w:rsidRDefault="00025E09" w:rsidP="00025E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p>
    <w:p w:rsidR="00025E09" w:rsidRPr="00025E09" w:rsidRDefault="00025E09" w:rsidP="00025E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025E09">
        <w:rPr>
          <w:rFonts w:eastAsia="Times New Roman" w:cs="Courier New"/>
          <w:sz w:val="24"/>
          <w:szCs w:val="24"/>
        </w:rPr>
        <w:t>It is not appropriate to use the “timed” function for routine laboratory tests.  Ninety percent of requests for “morning draws” at 0600 are completed on all inpatients by 0730 with results available by 0845.  When the phlebotomy team is tasked with multiple timed draws for Basic Chemistry and CBC’s, these goals are not met, affecting multiple areas of patient care.</w:t>
      </w:r>
    </w:p>
    <w:p w:rsidR="00025E09" w:rsidRDefault="00025E09" w:rsidP="007D3BA0">
      <w:pPr>
        <w:spacing w:line="240" w:lineRule="auto"/>
        <w:jc w:val="center"/>
        <w:rPr>
          <w:b/>
          <w:i/>
          <w:sz w:val="24"/>
          <w:szCs w:val="24"/>
        </w:rPr>
      </w:pPr>
    </w:p>
    <w:p w:rsidR="00C84DC3" w:rsidRPr="007D3BA0" w:rsidRDefault="00C84DC3" w:rsidP="007D3BA0">
      <w:pPr>
        <w:spacing w:line="240" w:lineRule="auto"/>
        <w:jc w:val="center"/>
        <w:rPr>
          <w:b/>
          <w:sz w:val="24"/>
          <w:szCs w:val="24"/>
        </w:rPr>
      </w:pPr>
      <w:r w:rsidRPr="007D3BA0">
        <w:rPr>
          <w:b/>
          <w:i/>
          <w:sz w:val="24"/>
          <w:szCs w:val="24"/>
        </w:rPr>
        <w:t xml:space="preserve">MLH1 </w:t>
      </w:r>
      <w:r w:rsidRPr="007D3BA0">
        <w:rPr>
          <w:b/>
          <w:sz w:val="24"/>
          <w:szCs w:val="24"/>
        </w:rPr>
        <w:t>Hypermethylation Analysis by PCR and PyroSequencing</w:t>
      </w:r>
    </w:p>
    <w:p w:rsidR="00C84DC3" w:rsidRPr="007D3BA0" w:rsidRDefault="00C84DC3" w:rsidP="007D3BA0">
      <w:pPr>
        <w:spacing w:line="240" w:lineRule="auto"/>
        <w:rPr>
          <w:sz w:val="24"/>
          <w:szCs w:val="24"/>
        </w:rPr>
      </w:pPr>
      <w:r w:rsidRPr="007D3BA0">
        <w:rPr>
          <w:sz w:val="24"/>
          <w:szCs w:val="24"/>
        </w:rPr>
        <w:t xml:space="preserve"> On February 5, 2016, the Molecular Diagnostics Laboratory began offering analysis to detect hypermethylation of the </w:t>
      </w:r>
      <w:r w:rsidRPr="007D3BA0">
        <w:rPr>
          <w:i/>
          <w:sz w:val="24"/>
          <w:szCs w:val="24"/>
        </w:rPr>
        <w:t>MLH1</w:t>
      </w:r>
      <w:r w:rsidRPr="007D3BA0">
        <w:rPr>
          <w:sz w:val="24"/>
          <w:szCs w:val="24"/>
        </w:rPr>
        <w:t xml:space="preserve"> gene, a component of the DNA mismatch repair (MMR) system.  Defects in MMR are associated with multiple malignancies including ~25-30% of endometrial and colorectal carcinomas.  The clinical concern is in identifying the few (about 5% of cases), but clinically relevant situations of familial cancer syndromes associated with MMR deficiency (i.e. Lynch Syndrome).  This requires significant genetic testing and counselling as Lynch Syndrome is associated with an increased risk of subsequent cancers or familial cancer predisposition.  Cancers associated with Lynch Syndrome typically do not exhibit </w:t>
      </w:r>
      <w:r w:rsidRPr="007D3BA0">
        <w:rPr>
          <w:i/>
          <w:sz w:val="24"/>
          <w:szCs w:val="24"/>
        </w:rPr>
        <w:t xml:space="preserve">MLH1 </w:t>
      </w:r>
      <w:r w:rsidRPr="007D3BA0">
        <w:rPr>
          <w:sz w:val="24"/>
          <w:szCs w:val="24"/>
        </w:rPr>
        <w:t>hypermethylation.</w:t>
      </w:r>
    </w:p>
    <w:p w:rsidR="00C84DC3" w:rsidRPr="007D3BA0" w:rsidRDefault="00C84DC3" w:rsidP="007D3BA0">
      <w:pPr>
        <w:pStyle w:val="Title1"/>
        <w:spacing w:before="0" w:beforeAutospacing="0" w:after="0" w:afterAutospacing="0"/>
        <w:rPr>
          <w:rFonts w:asciiTheme="minorHAnsi" w:hAnsiTheme="minorHAnsi"/>
        </w:rPr>
      </w:pPr>
    </w:p>
    <w:p w:rsidR="00C84DC3" w:rsidRPr="007D3BA0" w:rsidRDefault="00C84DC3" w:rsidP="007D3BA0">
      <w:pPr>
        <w:pStyle w:val="Title1"/>
        <w:spacing w:before="0" w:beforeAutospacing="0" w:after="0" w:afterAutospacing="0"/>
        <w:rPr>
          <w:rFonts w:asciiTheme="minorHAnsi" w:hAnsiTheme="minorHAnsi"/>
        </w:rPr>
      </w:pPr>
      <w:r w:rsidRPr="007D3BA0">
        <w:rPr>
          <w:rFonts w:asciiTheme="minorHAnsi" w:hAnsiTheme="minorHAnsi"/>
        </w:rPr>
        <w:t xml:space="preserve">However, the majority of cases with MMR deficiency are due to hypermethylation of the </w:t>
      </w:r>
      <w:r w:rsidRPr="007D3BA0">
        <w:rPr>
          <w:rFonts w:asciiTheme="minorHAnsi" w:hAnsiTheme="minorHAnsi"/>
          <w:i/>
        </w:rPr>
        <w:t>MLH1</w:t>
      </w:r>
      <w:r w:rsidRPr="007D3BA0">
        <w:rPr>
          <w:rFonts w:asciiTheme="minorHAnsi" w:hAnsiTheme="minorHAnsi"/>
        </w:rPr>
        <w:t xml:space="preserve"> promoter region, which are typically sporadic events.</w:t>
      </w:r>
    </w:p>
    <w:p w:rsidR="00C84DC3" w:rsidRPr="007D3BA0" w:rsidRDefault="00C84DC3" w:rsidP="007D3BA0">
      <w:pPr>
        <w:pStyle w:val="Title1"/>
        <w:spacing w:before="0" w:beforeAutospacing="0" w:after="0" w:afterAutospacing="0"/>
        <w:rPr>
          <w:rFonts w:asciiTheme="minorHAnsi" w:hAnsiTheme="minorHAnsi"/>
        </w:rPr>
      </w:pPr>
    </w:p>
    <w:p w:rsidR="00C84DC3" w:rsidRPr="007D3BA0" w:rsidRDefault="00C84DC3" w:rsidP="007D3BA0">
      <w:pPr>
        <w:pStyle w:val="Title1"/>
        <w:spacing w:before="0" w:beforeAutospacing="0" w:after="0" w:afterAutospacing="0"/>
        <w:rPr>
          <w:rFonts w:asciiTheme="minorHAnsi" w:hAnsiTheme="minorHAnsi"/>
        </w:rPr>
      </w:pPr>
      <w:r w:rsidRPr="007D3BA0">
        <w:rPr>
          <w:rFonts w:asciiTheme="minorHAnsi" w:hAnsiTheme="minorHAnsi"/>
        </w:rPr>
        <w:t xml:space="preserve">In conjunction with the </w:t>
      </w:r>
      <w:r w:rsidRPr="007D3BA0">
        <w:rPr>
          <w:rFonts w:asciiTheme="minorHAnsi" w:hAnsiTheme="minorHAnsi"/>
          <w:i/>
        </w:rPr>
        <w:t>MLH1</w:t>
      </w:r>
      <w:r w:rsidRPr="007D3BA0">
        <w:rPr>
          <w:rFonts w:asciiTheme="minorHAnsi" w:hAnsiTheme="minorHAnsi"/>
        </w:rPr>
        <w:t xml:space="preserve"> assay, we perform an analysis of the </w:t>
      </w:r>
      <w:r w:rsidRPr="007D3BA0">
        <w:rPr>
          <w:rFonts w:asciiTheme="minorHAnsi" w:hAnsiTheme="minorHAnsi"/>
          <w:i/>
        </w:rPr>
        <w:t>BRAF</w:t>
      </w:r>
      <w:r w:rsidRPr="007D3BA0">
        <w:rPr>
          <w:rFonts w:asciiTheme="minorHAnsi" w:hAnsiTheme="minorHAnsi"/>
        </w:rPr>
        <w:t xml:space="preserve"> gene, targeting the V600E mutation.  The presence of the </w:t>
      </w:r>
      <w:r w:rsidRPr="007D3BA0">
        <w:rPr>
          <w:rFonts w:asciiTheme="minorHAnsi" w:hAnsiTheme="minorHAnsi"/>
          <w:i/>
        </w:rPr>
        <w:t xml:space="preserve">BRAF </w:t>
      </w:r>
      <w:r w:rsidRPr="007D3BA0">
        <w:rPr>
          <w:rFonts w:asciiTheme="minorHAnsi" w:hAnsiTheme="minorHAnsi"/>
        </w:rPr>
        <w:t xml:space="preserve">V600E mutation is almost always associated with </w:t>
      </w:r>
      <w:r w:rsidRPr="007D3BA0">
        <w:rPr>
          <w:rFonts w:asciiTheme="minorHAnsi" w:hAnsiTheme="minorHAnsi"/>
          <w:i/>
        </w:rPr>
        <w:t>MLH1</w:t>
      </w:r>
      <w:r w:rsidRPr="007D3BA0">
        <w:rPr>
          <w:rFonts w:asciiTheme="minorHAnsi" w:hAnsiTheme="minorHAnsi"/>
        </w:rPr>
        <w:t xml:space="preserve"> hypermethylation and essentially rules out Lynch Syndrome.  </w:t>
      </w:r>
    </w:p>
    <w:p w:rsidR="00C84DC3" w:rsidRPr="007D3BA0" w:rsidRDefault="00C84DC3" w:rsidP="007D3BA0">
      <w:pPr>
        <w:pStyle w:val="Title1"/>
        <w:spacing w:before="0" w:beforeAutospacing="0" w:after="0" w:afterAutospacing="0"/>
        <w:rPr>
          <w:rFonts w:asciiTheme="minorHAnsi" w:hAnsiTheme="minorHAnsi"/>
          <w:color w:val="000000"/>
        </w:rPr>
      </w:pPr>
      <w:r w:rsidRPr="007D3BA0">
        <w:rPr>
          <w:rFonts w:asciiTheme="minorHAnsi" w:hAnsiTheme="minorHAnsi"/>
        </w:rPr>
        <w:t xml:space="preserve"> </w:t>
      </w:r>
    </w:p>
    <w:p w:rsidR="00C84DC3" w:rsidRPr="007D3BA0" w:rsidRDefault="00C84DC3" w:rsidP="007D3BA0">
      <w:pPr>
        <w:spacing w:line="240" w:lineRule="auto"/>
        <w:rPr>
          <w:sz w:val="24"/>
          <w:szCs w:val="24"/>
        </w:rPr>
      </w:pPr>
      <w:r w:rsidRPr="007D3BA0">
        <w:rPr>
          <w:sz w:val="24"/>
          <w:szCs w:val="24"/>
        </w:rPr>
        <w:t xml:space="preserve">This assay targets five CpG methylation sites in the promoter region of </w:t>
      </w:r>
      <w:r w:rsidRPr="007D3BA0">
        <w:rPr>
          <w:i/>
          <w:sz w:val="24"/>
          <w:szCs w:val="24"/>
        </w:rPr>
        <w:t>MLH1.</w:t>
      </w:r>
    </w:p>
    <w:p w:rsidR="00C84DC3" w:rsidRPr="007D3BA0" w:rsidRDefault="00C84DC3" w:rsidP="007D3BA0">
      <w:pPr>
        <w:spacing w:line="240" w:lineRule="auto"/>
        <w:rPr>
          <w:sz w:val="24"/>
          <w:szCs w:val="24"/>
        </w:rPr>
      </w:pPr>
      <w:r w:rsidRPr="007D3BA0">
        <w:rPr>
          <w:b/>
          <w:sz w:val="24"/>
          <w:szCs w:val="24"/>
        </w:rPr>
        <w:t xml:space="preserve">Methodology:  </w:t>
      </w:r>
      <w:r w:rsidRPr="007D3BA0">
        <w:rPr>
          <w:sz w:val="24"/>
          <w:szCs w:val="24"/>
        </w:rPr>
        <w:t>Bisulfite treatment of genomic DNA isolated from FFPE tissue, PCR of a segment of the MLH1 promoter region, and pyrosequencing on the Qiagen PyroMark Q24 system.</w:t>
      </w:r>
    </w:p>
    <w:p w:rsidR="00C84DC3" w:rsidRPr="007D3BA0" w:rsidRDefault="00C84DC3" w:rsidP="007D3BA0">
      <w:pPr>
        <w:spacing w:line="240" w:lineRule="auto"/>
        <w:rPr>
          <w:sz w:val="24"/>
          <w:szCs w:val="24"/>
        </w:rPr>
      </w:pPr>
      <w:r w:rsidRPr="007D3BA0">
        <w:rPr>
          <w:b/>
          <w:sz w:val="24"/>
          <w:szCs w:val="24"/>
        </w:rPr>
        <w:t>Required specimen</w:t>
      </w:r>
      <w:r w:rsidRPr="007D3BA0">
        <w:rPr>
          <w:sz w:val="24"/>
          <w:szCs w:val="24"/>
        </w:rPr>
        <w:t>: formalin fixed paraffin embedded tumor tissue block.  A matched H&amp;E with the area of interest circled must accompany each sample.  Determination of percent tumor load is also required; ideally a minimum of 40%.</w:t>
      </w:r>
    </w:p>
    <w:p w:rsidR="007D3BA0" w:rsidRPr="007D3BA0" w:rsidRDefault="007D3BA0" w:rsidP="007D3BA0">
      <w:pPr>
        <w:spacing w:line="240" w:lineRule="auto"/>
        <w:jc w:val="center"/>
        <w:rPr>
          <w:b/>
          <w:sz w:val="24"/>
          <w:szCs w:val="24"/>
        </w:rPr>
      </w:pPr>
      <w:r w:rsidRPr="007D3BA0">
        <w:rPr>
          <w:b/>
          <w:sz w:val="24"/>
          <w:szCs w:val="24"/>
        </w:rPr>
        <w:lastRenderedPageBreak/>
        <w:t>Drugs of Abuse Confirmations</w:t>
      </w:r>
    </w:p>
    <w:p w:rsidR="007D3BA0" w:rsidRPr="007D3BA0" w:rsidRDefault="007D3BA0" w:rsidP="007D3BA0">
      <w:pPr>
        <w:spacing w:line="240" w:lineRule="auto"/>
        <w:rPr>
          <w:sz w:val="24"/>
          <w:szCs w:val="24"/>
        </w:rPr>
      </w:pPr>
      <w:r w:rsidRPr="007D3BA0">
        <w:rPr>
          <w:sz w:val="24"/>
          <w:szCs w:val="24"/>
        </w:rPr>
        <w:t>The Medical Labs Toxicology division performs urine drugs of abuse screening (UDS) with automatic reflex to specific drug confirmations if the screen result is positive.   The UDS ordering options are as follows:</w:t>
      </w:r>
    </w:p>
    <w:p w:rsidR="007D3BA0" w:rsidRPr="007D3BA0" w:rsidRDefault="007D3BA0" w:rsidP="007D3BA0">
      <w:pPr>
        <w:pStyle w:val="ListParagraph"/>
        <w:numPr>
          <w:ilvl w:val="0"/>
          <w:numId w:val="1"/>
        </w:numPr>
        <w:spacing w:line="240" w:lineRule="auto"/>
        <w:rPr>
          <w:sz w:val="24"/>
          <w:szCs w:val="24"/>
        </w:rPr>
      </w:pPr>
      <w:r w:rsidRPr="007D3BA0">
        <w:rPr>
          <w:b/>
          <w:sz w:val="24"/>
          <w:szCs w:val="24"/>
        </w:rPr>
        <w:t>Drugs of Abuse, Full Screen</w:t>
      </w:r>
      <w:r w:rsidRPr="007D3BA0">
        <w:rPr>
          <w:sz w:val="24"/>
          <w:szCs w:val="24"/>
        </w:rPr>
        <w:t xml:space="preserve">:  includes Amphetamines, Barbiturates, Benzodiazepines, Cannabinoids, Cocaine, Ethanol, Opiates, Oxycodone, Phencyclidine, Methadone, Methadone Metabolite (EDDP) and integrity checks pH, specific gravity, creatinine.  </w:t>
      </w:r>
    </w:p>
    <w:p w:rsidR="007D3BA0" w:rsidRPr="007D3BA0" w:rsidRDefault="007D3BA0" w:rsidP="007D3BA0">
      <w:pPr>
        <w:pStyle w:val="ListParagraph"/>
        <w:numPr>
          <w:ilvl w:val="0"/>
          <w:numId w:val="1"/>
        </w:numPr>
        <w:spacing w:line="240" w:lineRule="auto"/>
        <w:rPr>
          <w:sz w:val="24"/>
          <w:szCs w:val="24"/>
        </w:rPr>
      </w:pPr>
      <w:r w:rsidRPr="007D3BA0">
        <w:rPr>
          <w:b/>
          <w:sz w:val="24"/>
          <w:szCs w:val="24"/>
        </w:rPr>
        <w:t>Drugs of Abuse, Modified Screen</w:t>
      </w:r>
      <w:r w:rsidRPr="007D3BA0">
        <w:rPr>
          <w:sz w:val="24"/>
          <w:szCs w:val="24"/>
        </w:rPr>
        <w:t>:  same as above but without ethanol.</w:t>
      </w:r>
    </w:p>
    <w:p w:rsidR="007D3BA0" w:rsidRPr="007D3BA0" w:rsidRDefault="007D3BA0" w:rsidP="007D3BA0">
      <w:pPr>
        <w:pStyle w:val="ListParagraph"/>
        <w:numPr>
          <w:ilvl w:val="0"/>
          <w:numId w:val="1"/>
        </w:numPr>
        <w:spacing w:line="240" w:lineRule="auto"/>
        <w:rPr>
          <w:sz w:val="24"/>
          <w:szCs w:val="24"/>
        </w:rPr>
      </w:pPr>
      <w:r w:rsidRPr="007D3BA0">
        <w:rPr>
          <w:b/>
          <w:sz w:val="24"/>
          <w:szCs w:val="24"/>
        </w:rPr>
        <w:t>Urine Contract Med Screen</w:t>
      </w:r>
      <w:r w:rsidRPr="007D3BA0">
        <w:rPr>
          <w:sz w:val="24"/>
          <w:szCs w:val="24"/>
        </w:rPr>
        <w:t xml:space="preserve">:  same as the Full Screen.  Reserved for patients who have signed a drug pain contract </w:t>
      </w:r>
      <w:r>
        <w:rPr>
          <w:sz w:val="24"/>
          <w:szCs w:val="24"/>
        </w:rPr>
        <w:t xml:space="preserve">and </w:t>
      </w:r>
      <w:r w:rsidRPr="007D3BA0">
        <w:rPr>
          <w:sz w:val="24"/>
          <w:szCs w:val="24"/>
        </w:rPr>
        <w:t>are required to be monitored regularly.</w:t>
      </w:r>
    </w:p>
    <w:p w:rsidR="007D3BA0" w:rsidRPr="007D3BA0" w:rsidRDefault="007D3BA0" w:rsidP="007D3BA0">
      <w:pPr>
        <w:spacing w:line="240" w:lineRule="auto"/>
        <w:rPr>
          <w:sz w:val="24"/>
          <w:szCs w:val="24"/>
        </w:rPr>
      </w:pPr>
      <w:r w:rsidRPr="007D3BA0">
        <w:rPr>
          <w:sz w:val="24"/>
          <w:szCs w:val="24"/>
        </w:rPr>
        <w:t xml:space="preserve">Most of the specific drug confirmation assays are now orderable in Epic (see below) with the exception of the following drug classes:  Benzodiazepines, Barbiturates, Phencyclidine, Buprenorphine and Fentanyl.  We are currently updating these confirmation assays and once they are complete they will also be orderable in Epic.   </w:t>
      </w:r>
      <w:r w:rsidR="000454A0">
        <w:rPr>
          <w:sz w:val="24"/>
          <w:szCs w:val="24"/>
        </w:rPr>
        <w:t>Please note that specimen integrity testing (pH, specific gravity, creatinine) is only available with a urine drug screen order and will not be performed if only a confirmation assay is ordered</w:t>
      </w:r>
    </w:p>
    <w:p w:rsidR="007D3BA0" w:rsidRPr="007D3BA0" w:rsidRDefault="007D3BA0" w:rsidP="007D3BA0">
      <w:pPr>
        <w:spacing w:line="240" w:lineRule="auto"/>
        <w:rPr>
          <w:sz w:val="24"/>
          <w:szCs w:val="24"/>
        </w:rPr>
      </w:pPr>
      <w:r w:rsidRPr="007D3BA0">
        <w:rPr>
          <w:noProof/>
          <w:color w:val="000000"/>
          <w:sz w:val="24"/>
          <w:szCs w:val="24"/>
        </w:rPr>
        <w:drawing>
          <wp:inline distT="0" distB="0" distL="0" distR="0" wp14:anchorId="0C174B63" wp14:editId="74B3DAB8">
            <wp:extent cx="5844540" cy="3520440"/>
            <wp:effectExtent l="0" t="0" r="3810" b="3810"/>
            <wp:docPr id="1" name="Picture 1" descr="cid:image001.png@01D172C5.BBBD6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172C5.BBBD639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5844540" cy="3520440"/>
                    </a:xfrm>
                    <a:prstGeom prst="rect">
                      <a:avLst/>
                    </a:prstGeom>
                    <a:noFill/>
                    <a:ln>
                      <a:noFill/>
                    </a:ln>
                  </pic:spPr>
                </pic:pic>
              </a:graphicData>
            </a:graphic>
          </wp:inline>
        </w:drawing>
      </w:r>
    </w:p>
    <w:p w:rsidR="00E714AE" w:rsidRDefault="00E714AE">
      <w:pPr>
        <w:rPr>
          <w:rFonts w:eastAsiaTheme="minorEastAsia" w:hAnsi="Calibri"/>
          <w:b/>
          <w:bCs/>
          <w:color w:val="000000" w:themeColor="text1"/>
          <w:kern w:val="24"/>
          <w:sz w:val="24"/>
          <w:szCs w:val="24"/>
        </w:rPr>
      </w:pPr>
      <w:r>
        <w:rPr>
          <w:rFonts w:hAnsi="Calibri"/>
          <w:b/>
          <w:bCs/>
          <w:color w:val="000000" w:themeColor="text1"/>
          <w:kern w:val="24"/>
        </w:rPr>
        <w:br w:type="page"/>
      </w:r>
    </w:p>
    <w:p w:rsidR="00894507" w:rsidRPr="00894507" w:rsidRDefault="00894507" w:rsidP="00894507">
      <w:pPr>
        <w:spacing w:before="100" w:beforeAutospacing="1" w:after="0" w:line="240" w:lineRule="auto"/>
        <w:jc w:val="center"/>
        <w:rPr>
          <w:rFonts w:eastAsia="Times New Roman" w:cs="Times New Roman"/>
          <w:sz w:val="24"/>
          <w:szCs w:val="24"/>
        </w:rPr>
      </w:pPr>
      <w:r w:rsidRPr="00894507">
        <w:rPr>
          <w:rFonts w:eastAsia="Times New Roman" w:cs="Times New Roman"/>
          <w:b/>
          <w:bCs/>
          <w:sz w:val="24"/>
          <w:szCs w:val="24"/>
        </w:rPr>
        <w:t>New Test Orders Available for Pediatric Blood Cultures</w:t>
      </w:r>
    </w:p>
    <w:p w:rsidR="00894507" w:rsidRPr="00894507" w:rsidRDefault="00894507" w:rsidP="00894507">
      <w:pPr>
        <w:spacing w:before="100" w:beforeAutospacing="1" w:after="0" w:line="240" w:lineRule="auto"/>
        <w:rPr>
          <w:rFonts w:eastAsia="Times New Roman" w:cs="Times New Roman"/>
          <w:sz w:val="24"/>
          <w:szCs w:val="24"/>
        </w:rPr>
      </w:pPr>
      <w:r w:rsidRPr="00894507">
        <w:rPr>
          <w:rFonts w:eastAsia="Times New Roman" w:cs="Times New Roman"/>
          <w:sz w:val="24"/>
          <w:szCs w:val="24"/>
        </w:rPr>
        <w:t> To ensure the use of the appropriate blood culture bottle collection on pediatric patients, two new test orders will soon be available in Epic.  There are no changes to blood culture orders for adult patients.</w:t>
      </w:r>
    </w:p>
    <w:p w:rsidR="00894507" w:rsidRPr="00894507" w:rsidRDefault="00894507" w:rsidP="00894507">
      <w:pPr>
        <w:spacing w:before="100" w:beforeAutospacing="1" w:after="0" w:line="240" w:lineRule="auto"/>
        <w:rPr>
          <w:rFonts w:eastAsia="Times New Roman" w:cs="Times New Roman"/>
          <w:sz w:val="24"/>
          <w:szCs w:val="24"/>
        </w:rPr>
      </w:pPr>
      <w:r w:rsidRPr="00894507">
        <w:rPr>
          <w:rFonts w:eastAsia="Times New Roman" w:cs="Times New Roman"/>
          <w:sz w:val="24"/>
          <w:szCs w:val="24"/>
        </w:rPr>
        <w:t xml:space="preserve"> Epic Order: </w:t>
      </w:r>
      <w:r w:rsidRPr="00894507">
        <w:rPr>
          <w:rFonts w:eastAsia="Times New Roman" w:cs="Times New Roman"/>
          <w:b/>
          <w:bCs/>
          <w:sz w:val="24"/>
          <w:szCs w:val="24"/>
        </w:rPr>
        <w:t>Pediatric Blood Culture</w:t>
      </w:r>
    </w:p>
    <w:p w:rsidR="00894507" w:rsidRPr="00894507" w:rsidRDefault="00894507" w:rsidP="00894507">
      <w:pPr>
        <w:pStyle w:val="ListParagraph"/>
        <w:numPr>
          <w:ilvl w:val="0"/>
          <w:numId w:val="6"/>
        </w:numPr>
        <w:spacing w:after="0" w:line="240" w:lineRule="auto"/>
        <w:rPr>
          <w:rFonts w:eastAsia="Times New Roman" w:cs="Times New Roman"/>
          <w:sz w:val="24"/>
          <w:szCs w:val="24"/>
        </w:rPr>
      </w:pPr>
      <w:r w:rsidRPr="00894507">
        <w:rPr>
          <w:rFonts w:eastAsia="Times New Roman" w:cs="Times New Roman"/>
          <w:sz w:val="24"/>
          <w:szCs w:val="24"/>
        </w:rPr>
        <w:t xml:space="preserve">To be used for isolation of </w:t>
      </w:r>
      <w:r w:rsidRPr="00894507">
        <w:rPr>
          <w:rFonts w:eastAsia="Times New Roman" w:cs="Times New Roman"/>
          <w:b/>
          <w:bCs/>
          <w:sz w:val="24"/>
          <w:szCs w:val="24"/>
        </w:rPr>
        <w:t>aerobic bacteria and/or yeast</w:t>
      </w:r>
    </w:p>
    <w:p w:rsidR="00894507" w:rsidRPr="00894507" w:rsidRDefault="00894507" w:rsidP="00894507">
      <w:pPr>
        <w:pStyle w:val="ListParagraph"/>
        <w:numPr>
          <w:ilvl w:val="0"/>
          <w:numId w:val="6"/>
        </w:numPr>
        <w:spacing w:before="100" w:beforeAutospacing="1" w:after="0" w:line="240" w:lineRule="auto"/>
        <w:rPr>
          <w:rFonts w:eastAsia="Times New Roman" w:cs="Times New Roman"/>
          <w:sz w:val="24"/>
          <w:szCs w:val="24"/>
        </w:rPr>
      </w:pPr>
      <w:r w:rsidRPr="00894507">
        <w:rPr>
          <w:rFonts w:eastAsia="Times New Roman" w:cs="Times New Roman"/>
          <w:sz w:val="24"/>
          <w:szCs w:val="24"/>
        </w:rPr>
        <w:t xml:space="preserve">Please collect pediatric yellow cap blood culture bottle only. </w:t>
      </w:r>
    </w:p>
    <w:p w:rsidR="00894507" w:rsidRPr="00894507" w:rsidRDefault="00894507" w:rsidP="00894507">
      <w:pPr>
        <w:pStyle w:val="ListParagraph"/>
        <w:numPr>
          <w:ilvl w:val="0"/>
          <w:numId w:val="6"/>
        </w:numPr>
        <w:spacing w:before="100" w:beforeAutospacing="1" w:after="0" w:line="240" w:lineRule="auto"/>
        <w:rPr>
          <w:rFonts w:eastAsia="Times New Roman" w:cs="Times New Roman"/>
          <w:sz w:val="24"/>
          <w:szCs w:val="24"/>
        </w:rPr>
      </w:pPr>
      <w:r w:rsidRPr="00894507">
        <w:rPr>
          <w:rFonts w:eastAsia="Times New Roman" w:cs="Times New Roman"/>
          <w:b/>
          <w:bCs/>
          <w:sz w:val="24"/>
          <w:szCs w:val="24"/>
        </w:rPr>
        <w:t>0.5-4 ml is optimal collection volume for pediatric bottle</w:t>
      </w:r>
      <w:r w:rsidRPr="00894507">
        <w:rPr>
          <w:rFonts w:eastAsia="Times New Roman" w:cs="Times New Roman"/>
          <w:sz w:val="24"/>
          <w:szCs w:val="24"/>
        </w:rPr>
        <w:t>.</w:t>
      </w:r>
    </w:p>
    <w:p w:rsidR="00894507" w:rsidRPr="00894507" w:rsidRDefault="00894507" w:rsidP="00894507">
      <w:pPr>
        <w:pStyle w:val="ListParagraph"/>
        <w:numPr>
          <w:ilvl w:val="0"/>
          <w:numId w:val="6"/>
        </w:numPr>
        <w:spacing w:before="100" w:beforeAutospacing="1" w:after="0" w:line="240" w:lineRule="auto"/>
        <w:rPr>
          <w:rFonts w:eastAsia="Times New Roman" w:cs="Times New Roman"/>
          <w:sz w:val="24"/>
          <w:szCs w:val="24"/>
        </w:rPr>
      </w:pPr>
      <w:r w:rsidRPr="00894507">
        <w:rPr>
          <w:rFonts w:eastAsia="Times New Roman" w:cs="Times New Roman"/>
          <w:sz w:val="24"/>
          <w:szCs w:val="24"/>
        </w:rPr>
        <w:t>May use either charcoal or resin-containing yellow cap bottle</w:t>
      </w:r>
    </w:p>
    <w:p w:rsidR="00894507" w:rsidRPr="00894507" w:rsidRDefault="00894507" w:rsidP="00894507">
      <w:pPr>
        <w:spacing w:before="100" w:beforeAutospacing="1" w:after="0" w:line="240" w:lineRule="auto"/>
        <w:rPr>
          <w:rFonts w:eastAsia="Times New Roman" w:cs="Times New Roman"/>
          <w:sz w:val="24"/>
          <w:szCs w:val="24"/>
        </w:rPr>
      </w:pPr>
      <w:r w:rsidRPr="00894507">
        <w:rPr>
          <w:rFonts w:eastAsia="Times New Roman" w:cs="Times New Roman"/>
          <w:sz w:val="24"/>
          <w:szCs w:val="24"/>
        </w:rPr>
        <w:t xml:space="preserve"> Epic Order: </w:t>
      </w:r>
      <w:r w:rsidRPr="00894507">
        <w:rPr>
          <w:rFonts w:eastAsia="Times New Roman" w:cs="Times New Roman"/>
          <w:b/>
          <w:bCs/>
          <w:sz w:val="24"/>
          <w:szCs w:val="24"/>
        </w:rPr>
        <w:t>Pediatric Blood Culture w/Anaerobic</w:t>
      </w:r>
    </w:p>
    <w:p w:rsidR="00894507" w:rsidRPr="00894507" w:rsidRDefault="00894507" w:rsidP="00894507">
      <w:pPr>
        <w:pStyle w:val="ListParagraph"/>
        <w:numPr>
          <w:ilvl w:val="0"/>
          <w:numId w:val="7"/>
        </w:numPr>
        <w:spacing w:after="0" w:line="240" w:lineRule="auto"/>
        <w:rPr>
          <w:rFonts w:eastAsia="Times New Roman" w:cs="Times New Roman"/>
          <w:sz w:val="24"/>
          <w:szCs w:val="24"/>
        </w:rPr>
      </w:pPr>
      <w:r w:rsidRPr="00894507">
        <w:rPr>
          <w:rFonts w:eastAsia="Times New Roman" w:cs="Times New Roman"/>
          <w:sz w:val="24"/>
          <w:szCs w:val="24"/>
        </w:rPr>
        <w:t xml:space="preserve">To be used only when </w:t>
      </w:r>
      <w:r w:rsidRPr="00894507">
        <w:rPr>
          <w:rFonts w:eastAsia="Times New Roman" w:cs="Times New Roman"/>
          <w:b/>
          <w:bCs/>
          <w:sz w:val="24"/>
          <w:szCs w:val="24"/>
        </w:rPr>
        <w:t>anaerobic bacteria</w:t>
      </w:r>
      <w:r w:rsidRPr="00894507">
        <w:rPr>
          <w:rFonts w:eastAsia="Times New Roman" w:cs="Times New Roman"/>
          <w:sz w:val="24"/>
          <w:szCs w:val="24"/>
        </w:rPr>
        <w:t xml:space="preserve"> are suspected. </w:t>
      </w:r>
    </w:p>
    <w:p w:rsidR="00894507" w:rsidRPr="00894507" w:rsidRDefault="00894507" w:rsidP="00894507">
      <w:pPr>
        <w:pStyle w:val="ListParagraph"/>
        <w:numPr>
          <w:ilvl w:val="0"/>
          <w:numId w:val="7"/>
        </w:numPr>
        <w:spacing w:before="100" w:beforeAutospacing="1" w:after="0" w:line="240" w:lineRule="auto"/>
        <w:rPr>
          <w:rFonts w:eastAsia="Times New Roman" w:cs="Times New Roman"/>
          <w:sz w:val="24"/>
          <w:szCs w:val="24"/>
        </w:rPr>
      </w:pPr>
      <w:r w:rsidRPr="00894507">
        <w:rPr>
          <w:rFonts w:eastAsia="Times New Roman" w:cs="Times New Roman"/>
          <w:sz w:val="24"/>
          <w:szCs w:val="24"/>
        </w:rPr>
        <w:t xml:space="preserve">Please collect pediatric yellow cap bottle (as above) and an adult anaerobic (purple cap) bottle. </w:t>
      </w:r>
    </w:p>
    <w:p w:rsidR="00894507" w:rsidRPr="00894507" w:rsidRDefault="00894507" w:rsidP="00894507">
      <w:pPr>
        <w:pStyle w:val="ListParagraph"/>
        <w:numPr>
          <w:ilvl w:val="0"/>
          <w:numId w:val="7"/>
        </w:numPr>
        <w:spacing w:before="100" w:beforeAutospacing="1" w:after="0" w:line="240" w:lineRule="auto"/>
        <w:rPr>
          <w:rFonts w:eastAsia="Times New Roman" w:cs="Times New Roman"/>
          <w:sz w:val="24"/>
          <w:szCs w:val="24"/>
        </w:rPr>
      </w:pPr>
      <w:r w:rsidRPr="00894507">
        <w:rPr>
          <w:rFonts w:eastAsia="Times New Roman" w:cs="Times New Roman"/>
          <w:b/>
          <w:bCs/>
          <w:sz w:val="24"/>
          <w:szCs w:val="24"/>
        </w:rPr>
        <w:t>5-10ml is optimal collection volume for anaerobic bottle</w:t>
      </w:r>
      <w:r w:rsidRPr="00894507">
        <w:rPr>
          <w:rFonts w:eastAsia="Times New Roman" w:cs="Times New Roman"/>
          <w:sz w:val="24"/>
          <w:szCs w:val="24"/>
        </w:rPr>
        <w:t>.</w:t>
      </w:r>
    </w:p>
    <w:p w:rsidR="00894507" w:rsidRPr="00894507" w:rsidRDefault="00894507" w:rsidP="00894507">
      <w:pPr>
        <w:spacing w:before="100" w:beforeAutospacing="1" w:after="0" w:line="240" w:lineRule="auto"/>
        <w:rPr>
          <w:rFonts w:eastAsia="Times New Roman" w:cs="Times New Roman"/>
          <w:sz w:val="24"/>
          <w:szCs w:val="24"/>
        </w:rPr>
      </w:pPr>
      <w:r w:rsidRPr="00894507">
        <w:rPr>
          <w:rFonts w:eastAsia="Times New Roman" w:cs="Times New Roman"/>
          <w:sz w:val="24"/>
          <w:szCs w:val="24"/>
        </w:rPr>
        <w:t> Please contact the Clinical Microbiology Director on call at PIC 1221 with questions or comments.</w:t>
      </w:r>
    </w:p>
    <w:p w:rsidR="00E714AE" w:rsidRPr="00E714AE" w:rsidRDefault="00E714AE" w:rsidP="00E714AE">
      <w:pPr>
        <w:pStyle w:val="NormalWeb"/>
        <w:spacing w:before="0" w:beforeAutospacing="0" w:after="0" w:afterAutospacing="0"/>
        <w:jc w:val="center"/>
        <w:rPr>
          <w:rFonts w:asciiTheme="minorHAnsi" w:hAnsi="Calibri" w:cstheme="minorBidi"/>
          <w:bCs/>
          <w:color w:val="000000" w:themeColor="text1"/>
          <w:kern w:val="24"/>
        </w:rPr>
      </w:pPr>
    </w:p>
    <w:sectPr w:rsidR="00E714AE" w:rsidRPr="00E714AE" w:rsidSect="00E714AE">
      <w:footerReference w:type="default" r:id="rId12"/>
      <w:pgSz w:w="12240" w:h="15840"/>
      <w:pgMar w:top="1080" w:right="1440" w:bottom="99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3371" w:rsidRDefault="00223371" w:rsidP="007D3BA0">
      <w:pPr>
        <w:spacing w:after="0" w:line="240" w:lineRule="auto"/>
      </w:pPr>
      <w:r>
        <w:separator/>
      </w:r>
    </w:p>
  </w:endnote>
  <w:endnote w:type="continuationSeparator" w:id="0">
    <w:p w:rsidR="00223371" w:rsidRDefault="00223371" w:rsidP="007D3B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altName w:val="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BA0" w:rsidRPr="007D3BA0" w:rsidRDefault="007D3BA0" w:rsidP="007D3BA0">
    <w:pPr>
      <w:pStyle w:val="Footer"/>
      <w:jc w:val="center"/>
    </w:pPr>
    <w:r w:rsidRPr="007D3BA0">
      <w:t xml:space="preserve">Page </w:t>
    </w:r>
    <w:r w:rsidRPr="007D3BA0">
      <w:fldChar w:fldCharType="begin"/>
    </w:r>
    <w:r w:rsidRPr="007D3BA0">
      <w:instrText xml:space="preserve"> PAGE  \* Arabic  \* MERGEFORMAT </w:instrText>
    </w:r>
    <w:r w:rsidRPr="007D3BA0">
      <w:fldChar w:fldCharType="separate"/>
    </w:r>
    <w:r w:rsidR="002F5382">
      <w:rPr>
        <w:noProof/>
      </w:rPr>
      <w:t>1</w:t>
    </w:r>
    <w:r w:rsidRPr="007D3BA0">
      <w:fldChar w:fldCharType="end"/>
    </w:r>
    <w:r w:rsidRPr="007D3BA0">
      <w:t xml:space="preserve"> of </w:t>
    </w:r>
    <w:fldSimple w:instr=" NUMPAGES  \* Arabic  \* MERGEFORMAT ">
      <w:r w:rsidR="002F5382">
        <w:rPr>
          <w:noProof/>
        </w:rPr>
        <w:t>3</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3371" w:rsidRDefault="00223371" w:rsidP="007D3BA0">
      <w:pPr>
        <w:spacing w:after="0" w:line="240" w:lineRule="auto"/>
      </w:pPr>
      <w:r>
        <w:separator/>
      </w:r>
    </w:p>
  </w:footnote>
  <w:footnote w:type="continuationSeparator" w:id="0">
    <w:p w:rsidR="00223371" w:rsidRDefault="00223371" w:rsidP="007D3BA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C211B"/>
    <w:multiLevelType w:val="hybridMultilevel"/>
    <w:tmpl w:val="8C0C4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072015"/>
    <w:multiLevelType w:val="hybridMultilevel"/>
    <w:tmpl w:val="1512D360"/>
    <w:lvl w:ilvl="0" w:tplc="BFA6D350">
      <w:start w:val="1"/>
      <w:numFmt w:val="bullet"/>
      <w:lvlText w:val="•"/>
      <w:lvlJc w:val="left"/>
      <w:pPr>
        <w:tabs>
          <w:tab w:val="num" w:pos="720"/>
        </w:tabs>
        <w:ind w:left="720" w:hanging="360"/>
      </w:pPr>
      <w:rPr>
        <w:rFonts w:ascii="Arial" w:hAnsi="Arial" w:hint="default"/>
      </w:rPr>
    </w:lvl>
    <w:lvl w:ilvl="1" w:tplc="1D48AD9C" w:tentative="1">
      <w:start w:val="1"/>
      <w:numFmt w:val="bullet"/>
      <w:lvlText w:val="•"/>
      <w:lvlJc w:val="left"/>
      <w:pPr>
        <w:tabs>
          <w:tab w:val="num" w:pos="1440"/>
        </w:tabs>
        <w:ind w:left="1440" w:hanging="360"/>
      </w:pPr>
      <w:rPr>
        <w:rFonts w:ascii="Arial" w:hAnsi="Arial" w:hint="default"/>
      </w:rPr>
    </w:lvl>
    <w:lvl w:ilvl="2" w:tplc="BDF63CCA" w:tentative="1">
      <w:start w:val="1"/>
      <w:numFmt w:val="bullet"/>
      <w:lvlText w:val="•"/>
      <w:lvlJc w:val="left"/>
      <w:pPr>
        <w:tabs>
          <w:tab w:val="num" w:pos="2160"/>
        </w:tabs>
        <w:ind w:left="2160" w:hanging="360"/>
      </w:pPr>
      <w:rPr>
        <w:rFonts w:ascii="Arial" w:hAnsi="Arial" w:hint="default"/>
      </w:rPr>
    </w:lvl>
    <w:lvl w:ilvl="3" w:tplc="9184FF62" w:tentative="1">
      <w:start w:val="1"/>
      <w:numFmt w:val="bullet"/>
      <w:lvlText w:val="•"/>
      <w:lvlJc w:val="left"/>
      <w:pPr>
        <w:tabs>
          <w:tab w:val="num" w:pos="2880"/>
        </w:tabs>
        <w:ind w:left="2880" w:hanging="360"/>
      </w:pPr>
      <w:rPr>
        <w:rFonts w:ascii="Arial" w:hAnsi="Arial" w:hint="default"/>
      </w:rPr>
    </w:lvl>
    <w:lvl w:ilvl="4" w:tplc="1D161EC4" w:tentative="1">
      <w:start w:val="1"/>
      <w:numFmt w:val="bullet"/>
      <w:lvlText w:val="•"/>
      <w:lvlJc w:val="left"/>
      <w:pPr>
        <w:tabs>
          <w:tab w:val="num" w:pos="3600"/>
        </w:tabs>
        <w:ind w:left="3600" w:hanging="360"/>
      </w:pPr>
      <w:rPr>
        <w:rFonts w:ascii="Arial" w:hAnsi="Arial" w:hint="default"/>
      </w:rPr>
    </w:lvl>
    <w:lvl w:ilvl="5" w:tplc="BBDC71BE" w:tentative="1">
      <w:start w:val="1"/>
      <w:numFmt w:val="bullet"/>
      <w:lvlText w:val="•"/>
      <w:lvlJc w:val="left"/>
      <w:pPr>
        <w:tabs>
          <w:tab w:val="num" w:pos="4320"/>
        </w:tabs>
        <w:ind w:left="4320" w:hanging="360"/>
      </w:pPr>
      <w:rPr>
        <w:rFonts w:ascii="Arial" w:hAnsi="Arial" w:hint="default"/>
      </w:rPr>
    </w:lvl>
    <w:lvl w:ilvl="6" w:tplc="2A0A06DA" w:tentative="1">
      <w:start w:val="1"/>
      <w:numFmt w:val="bullet"/>
      <w:lvlText w:val="•"/>
      <w:lvlJc w:val="left"/>
      <w:pPr>
        <w:tabs>
          <w:tab w:val="num" w:pos="5040"/>
        </w:tabs>
        <w:ind w:left="5040" w:hanging="360"/>
      </w:pPr>
      <w:rPr>
        <w:rFonts w:ascii="Arial" w:hAnsi="Arial" w:hint="default"/>
      </w:rPr>
    </w:lvl>
    <w:lvl w:ilvl="7" w:tplc="3ED4E070" w:tentative="1">
      <w:start w:val="1"/>
      <w:numFmt w:val="bullet"/>
      <w:lvlText w:val="•"/>
      <w:lvlJc w:val="left"/>
      <w:pPr>
        <w:tabs>
          <w:tab w:val="num" w:pos="5760"/>
        </w:tabs>
        <w:ind w:left="5760" w:hanging="360"/>
      </w:pPr>
      <w:rPr>
        <w:rFonts w:ascii="Arial" w:hAnsi="Arial" w:hint="default"/>
      </w:rPr>
    </w:lvl>
    <w:lvl w:ilvl="8" w:tplc="DC72910E" w:tentative="1">
      <w:start w:val="1"/>
      <w:numFmt w:val="bullet"/>
      <w:lvlText w:val="•"/>
      <w:lvlJc w:val="left"/>
      <w:pPr>
        <w:tabs>
          <w:tab w:val="num" w:pos="6480"/>
        </w:tabs>
        <w:ind w:left="6480" w:hanging="360"/>
      </w:pPr>
      <w:rPr>
        <w:rFonts w:ascii="Arial" w:hAnsi="Arial" w:hint="default"/>
      </w:rPr>
    </w:lvl>
  </w:abstractNum>
  <w:abstractNum w:abstractNumId="2">
    <w:nsid w:val="26913103"/>
    <w:multiLevelType w:val="hybridMultilevel"/>
    <w:tmpl w:val="0CDE0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08C22F5"/>
    <w:multiLevelType w:val="hybridMultilevel"/>
    <w:tmpl w:val="9AAC57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8DC1379"/>
    <w:multiLevelType w:val="hybridMultilevel"/>
    <w:tmpl w:val="7F7C2758"/>
    <w:lvl w:ilvl="0" w:tplc="D4EAB0BE">
      <w:start w:val="1"/>
      <w:numFmt w:val="bullet"/>
      <w:lvlText w:val="•"/>
      <w:lvlJc w:val="left"/>
      <w:pPr>
        <w:tabs>
          <w:tab w:val="num" w:pos="720"/>
        </w:tabs>
        <w:ind w:left="720" w:hanging="360"/>
      </w:pPr>
      <w:rPr>
        <w:rFonts w:ascii="Arial" w:hAnsi="Arial" w:hint="default"/>
      </w:rPr>
    </w:lvl>
    <w:lvl w:ilvl="1" w:tplc="1E5614AE" w:tentative="1">
      <w:start w:val="1"/>
      <w:numFmt w:val="bullet"/>
      <w:lvlText w:val="•"/>
      <w:lvlJc w:val="left"/>
      <w:pPr>
        <w:tabs>
          <w:tab w:val="num" w:pos="1440"/>
        </w:tabs>
        <w:ind w:left="1440" w:hanging="360"/>
      </w:pPr>
      <w:rPr>
        <w:rFonts w:ascii="Arial" w:hAnsi="Arial" w:hint="default"/>
      </w:rPr>
    </w:lvl>
    <w:lvl w:ilvl="2" w:tplc="AA2A91A6" w:tentative="1">
      <w:start w:val="1"/>
      <w:numFmt w:val="bullet"/>
      <w:lvlText w:val="•"/>
      <w:lvlJc w:val="left"/>
      <w:pPr>
        <w:tabs>
          <w:tab w:val="num" w:pos="2160"/>
        </w:tabs>
        <w:ind w:left="2160" w:hanging="360"/>
      </w:pPr>
      <w:rPr>
        <w:rFonts w:ascii="Arial" w:hAnsi="Arial" w:hint="default"/>
      </w:rPr>
    </w:lvl>
    <w:lvl w:ilvl="3" w:tplc="19C88E38" w:tentative="1">
      <w:start w:val="1"/>
      <w:numFmt w:val="bullet"/>
      <w:lvlText w:val="•"/>
      <w:lvlJc w:val="left"/>
      <w:pPr>
        <w:tabs>
          <w:tab w:val="num" w:pos="2880"/>
        </w:tabs>
        <w:ind w:left="2880" w:hanging="360"/>
      </w:pPr>
      <w:rPr>
        <w:rFonts w:ascii="Arial" w:hAnsi="Arial" w:hint="default"/>
      </w:rPr>
    </w:lvl>
    <w:lvl w:ilvl="4" w:tplc="A0567D30" w:tentative="1">
      <w:start w:val="1"/>
      <w:numFmt w:val="bullet"/>
      <w:lvlText w:val="•"/>
      <w:lvlJc w:val="left"/>
      <w:pPr>
        <w:tabs>
          <w:tab w:val="num" w:pos="3600"/>
        </w:tabs>
        <w:ind w:left="3600" w:hanging="360"/>
      </w:pPr>
      <w:rPr>
        <w:rFonts w:ascii="Arial" w:hAnsi="Arial" w:hint="default"/>
      </w:rPr>
    </w:lvl>
    <w:lvl w:ilvl="5" w:tplc="30F22F1E" w:tentative="1">
      <w:start w:val="1"/>
      <w:numFmt w:val="bullet"/>
      <w:lvlText w:val="•"/>
      <w:lvlJc w:val="left"/>
      <w:pPr>
        <w:tabs>
          <w:tab w:val="num" w:pos="4320"/>
        </w:tabs>
        <w:ind w:left="4320" w:hanging="360"/>
      </w:pPr>
      <w:rPr>
        <w:rFonts w:ascii="Arial" w:hAnsi="Arial" w:hint="default"/>
      </w:rPr>
    </w:lvl>
    <w:lvl w:ilvl="6" w:tplc="0D222488" w:tentative="1">
      <w:start w:val="1"/>
      <w:numFmt w:val="bullet"/>
      <w:lvlText w:val="•"/>
      <w:lvlJc w:val="left"/>
      <w:pPr>
        <w:tabs>
          <w:tab w:val="num" w:pos="5040"/>
        </w:tabs>
        <w:ind w:left="5040" w:hanging="360"/>
      </w:pPr>
      <w:rPr>
        <w:rFonts w:ascii="Arial" w:hAnsi="Arial" w:hint="default"/>
      </w:rPr>
    </w:lvl>
    <w:lvl w:ilvl="7" w:tplc="F84E5CD8" w:tentative="1">
      <w:start w:val="1"/>
      <w:numFmt w:val="bullet"/>
      <w:lvlText w:val="•"/>
      <w:lvlJc w:val="left"/>
      <w:pPr>
        <w:tabs>
          <w:tab w:val="num" w:pos="5760"/>
        </w:tabs>
        <w:ind w:left="5760" w:hanging="360"/>
      </w:pPr>
      <w:rPr>
        <w:rFonts w:ascii="Arial" w:hAnsi="Arial" w:hint="default"/>
      </w:rPr>
    </w:lvl>
    <w:lvl w:ilvl="8" w:tplc="536E2B48" w:tentative="1">
      <w:start w:val="1"/>
      <w:numFmt w:val="bullet"/>
      <w:lvlText w:val="•"/>
      <w:lvlJc w:val="left"/>
      <w:pPr>
        <w:tabs>
          <w:tab w:val="num" w:pos="6480"/>
        </w:tabs>
        <w:ind w:left="6480" w:hanging="360"/>
      </w:pPr>
      <w:rPr>
        <w:rFonts w:ascii="Arial" w:hAnsi="Arial" w:hint="default"/>
      </w:rPr>
    </w:lvl>
  </w:abstractNum>
  <w:abstractNum w:abstractNumId="5">
    <w:nsid w:val="39AE76C7"/>
    <w:multiLevelType w:val="hybridMultilevel"/>
    <w:tmpl w:val="F432BCE4"/>
    <w:lvl w:ilvl="0" w:tplc="F2DA4F48">
      <w:start w:val="1"/>
      <w:numFmt w:val="bullet"/>
      <w:lvlText w:val="•"/>
      <w:lvlJc w:val="left"/>
      <w:pPr>
        <w:tabs>
          <w:tab w:val="num" w:pos="720"/>
        </w:tabs>
        <w:ind w:left="720" w:hanging="360"/>
      </w:pPr>
      <w:rPr>
        <w:rFonts w:ascii="Arial" w:hAnsi="Arial" w:hint="default"/>
      </w:rPr>
    </w:lvl>
    <w:lvl w:ilvl="1" w:tplc="FEDE3964" w:tentative="1">
      <w:start w:val="1"/>
      <w:numFmt w:val="bullet"/>
      <w:lvlText w:val="•"/>
      <w:lvlJc w:val="left"/>
      <w:pPr>
        <w:tabs>
          <w:tab w:val="num" w:pos="1440"/>
        </w:tabs>
        <w:ind w:left="1440" w:hanging="360"/>
      </w:pPr>
      <w:rPr>
        <w:rFonts w:ascii="Arial" w:hAnsi="Arial" w:hint="default"/>
      </w:rPr>
    </w:lvl>
    <w:lvl w:ilvl="2" w:tplc="44BC554A" w:tentative="1">
      <w:start w:val="1"/>
      <w:numFmt w:val="bullet"/>
      <w:lvlText w:val="•"/>
      <w:lvlJc w:val="left"/>
      <w:pPr>
        <w:tabs>
          <w:tab w:val="num" w:pos="2160"/>
        </w:tabs>
        <w:ind w:left="2160" w:hanging="360"/>
      </w:pPr>
      <w:rPr>
        <w:rFonts w:ascii="Arial" w:hAnsi="Arial" w:hint="default"/>
      </w:rPr>
    </w:lvl>
    <w:lvl w:ilvl="3" w:tplc="5EC64B62" w:tentative="1">
      <w:start w:val="1"/>
      <w:numFmt w:val="bullet"/>
      <w:lvlText w:val="•"/>
      <w:lvlJc w:val="left"/>
      <w:pPr>
        <w:tabs>
          <w:tab w:val="num" w:pos="2880"/>
        </w:tabs>
        <w:ind w:left="2880" w:hanging="360"/>
      </w:pPr>
      <w:rPr>
        <w:rFonts w:ascii="Arial" w:hAnsi="Arial" w:hint="default"/>
      </w:rPr>
    </w:lvl>
    <w:lvl w:ilvl="4" w:tplc="71F2F5D4" w:tentative="1">
      <w:start w:val="1"/>
      <w:numFmt w:val="bullet"/>
      <w:lvlText w:val="•"/>
      <w:lvlJc w:val="left"/>
      <w:pPr>
        <w:tabs>
          <w:tab w:val="num" w:pos="3600"/>
        </w:tabs>
        <w:ind w:left="3600" w:hanging="360"/>
      </w:pPr>
      <w:rPr>
        <w:rFonts w:ascii="Arial" w:hAnsi="Arial" w:hint="default"/>
      </w:rPr>
    </w:lvl>
    <w:lvl w:ilvl="5" w:tplc="7EDC5626" w:tentative="1">
      <w:start w:val="1"/>
      <w:numFmt w:val="bullet"/>
      <w:lvlText w:val="•"/>
      <w:lvlJc w:val="left"/>
      <w:pPr>
        <w:tabs>
          <w:tab w:val="num" w:pos="4320"/>
        </w:tabs>
        <w:ind w:left="4320" w:hanging="360"/>
      </w:pPr>
      <w:rPr>
        <w:rFonts w:ascii="Arial" w:hAnsi="Arial" w:hint="default"/>
      </w:rPr>
    </w:lvl>
    <w:lvl w:ilvl="6" w:tplc="7C24EDE2" w:tentative="1">
      <w:start w:val="1"/>
      <w:numFmt w:val="bullet"/>
      <w:lvlText w:val="•"/>
      <w:lvlJc w:val="left"/>
      <w:pPr>
        <w:tabs>
          <w:tab w:val="num" w:pos="5040"/>
        </w:tabs>
        <w:ind w:left="5040" w:hanging="360"/>
      </w:pPr>
      <w:rPr>
        <w:rFonts w:ascii="Arial" w:hAnsi="Arial" w:hint="default"/>
      </w:rPr>
    </w:lvl>
    <w:lvl w:ilvl="7" w:tplc="BBF68092" w:tentative="1">
      <w:start w:val="1"/>
      <w:numFmt w:val="bullet"/>
      <w:lvlText w:val="•"/>
      <w:lvlJc w:val="left"/>
      <w:pPr>
        <w:tabs>
          <w:tab w:val="num" w:pos="5760"/>
        </w:tabs>
        <w:ind w:left="5760" w:hanging="360"/>
      </w:pPr>
      <w:rPr>
        <w:rFonts w:ascii="Arial" w:hAnsi="Arial" w:hint="default"/>
      </w:rPr>
    </w:lvl>
    <w:lvl w:ilvl="8" w:tplc="D3B086B6" w:tentative="1">
      <w:start w:val="1"/>
      <w:numFmt w:val="bullet"/>
      <w:lvlText w:val="•"/>
      <w:lvlJc w:val="left"/>
      <w:pPr>
        <w:tabs>
          <w:tab w:val="num" w:pos="6480"/>
        </w:tabs>
        <w:ind w:left="6480" w:hanging="360"/>
      </w:pPr>
      <w:rPr>
        <w:rFonts w:ascii="Arial" w:hAnsi="Arial" w:hint="default"/>
      </w:rPr>
    </w:lvl>
  </w:abstractNum>
  <w:abstractNum w:abstractNumId="6">
    <w:nsid w:val="476F3B14"/>
    <w:multiLevelType w:val="hybridMultilevel"/>
    <w:tmpl w:val="4886D13C"/>
    <w:lvl w:ilvl="0" w:tplc="8FEE135E">
      <w:start w:val="1"/>
      <w:numFmt w:val="bullet"/>
      <w:lvlText w:val="•"/>
      <w:lvlJc w:val="left"/>
      <w:pPr>
        <w:tabs>
          <w:tab w:val="num" w:pos="720"/>
        </w:tabs>
        <w:ind w:left="720" w:hanging="360"/>
      </w:pPr>
      <w:rPr>
        <w:rFonts w:ascii="Arial" w:hAnsi="Arial" w:hint="default"/>
      </w:rPr>
    </w:lvl>
    <w:lvl w:ilvl="1" w:tplc="7CAC2F84" w:tentative="1">
      <w:start w:val="1"/>
      <w:numFmt w:val="bullet"/>
      <w:lvlText w:val="•"/>
      <w:lvlJc w:val="left"/>
      <w:pPr>
        <w:tabs>
          <w:tab w:val="num" w:pos="1440"/>
        </w:tabs>
        <w:ind w:left="1440" w:hanging="360"/>
      </w:pPr>
      <w:rPr>
        <w:rFonts w:ascii="Arial" w:hAnsi="Arial" w:hint="default"/>
      </w:rPr>
    </w:lvl>
    <w:lvl w:ilvl="2" w:tplc="21042268" w:tentative="1">
      <w:start w:val="1"/>
      <w:numFmt w:val="bullet"/>
      <w:lvlText w:val="•"/>
      <w:lvlJc w:val="left"/>
      <w:pPr>
        <w:tabs>
          <w:tab w:val="num" w:pos="2160"/>
        </w:tabs>
        <w:ind w:left="2160" w:hanging="360"/>
      </w:pPr>
      <w:rPr>
        <w:rFonts w:ascii="Arial" w:hAnsi="Arial" w:hint="default"/>
      </w:rPr>
    </w:lvl>
    <w:lvl w:ilvl="3" w:tplc="53C4FEE6" w:tentative="1">
      <w:start w:val="1"/>
      <w:numFmt w:val="bullet"/>
      <w:lvlText w:val="•"/>
      <w:lvlJc w:val="left"/>
      <w:pPr>
        <w:tabs>
          <w:tab w:val="num" w:pos="2880"/>
        </w:tabs>
        <w:ind w:left="2880" w:hanging="360"/>
      </w:pPr>
      <w:rPr>
        <w:rFonts w:ascii="Arial" w:hAnsi="Arial" w:hint="default"/>
      </w:rPr>
    </w:lvl>
    <w:lvl w:ilvl="4" w:tplc="51302AD2" w:tentative="1">
      <w:start w:val="1"/>
      <w:numFmt w:val="bullet"/>
      <w:lvlText w:val="•"/>
      <w:lvlJc w:val="left"/>
      <w:pPr>
        <w:tabs>
          <w:tab w:val="num" w:pos="3600"/>
        </w:tabs>
        <w:ind w:left="3600" w:hanging="360"/>
      </w:pPr>
      <w:rPr>
        <w:rFonts w:ascii="Arial" w:hAnsi="Arial" w:hint="default"/>
      </w:rPr>
    </w:lvl>
    <w:lvl w:ilvl="5" w:tplc="24AC60B6" w:tentative="1">
      <w:start w:val="1"/>
      <w:numFmt w:val="bullet"/>
      <w:lvlText w:val="•"/>
      <w:lvlJc w:val="left"/>
      <w:pPr>
        <w:tabs>
          <w:tab w:val="num" w:pos="4320"/>
        </w:tabs>
        <w:ind w:left="4320" w:hanging="360"/>
      </w:pPr>
      <w:rPr>
        <w:rFonts w:ascii="Arial" w:hAnsi="Arial" w:hint="default"/>
      </w:rPr>
    </w:lvl>
    <w:lvl w:ilvl="6" w:tplc="884E9FFE" w:tentative="1">
      <w:start w:val="1"/>
      <w:numFmt w:val="bullet"/>
      <w:lvlText w:val="•"/>
      <w:lvlJc w:val="left"/>
      <w:pPr>
        <w:tabs>
          <w:tab w:val="num" w:pos="5040"/>
        </w:tabs>
        <w:ind w:left="5040" w:hanging="360"/>
      </w:pPr>
      <w:rPr>
        <w:rFonts w:ascii="Arial" w:hAnsi="Arial" w:hint="default"/>
      </w:rPr>
    </w:lvl>
    <w:lvl w:ilvl="7" w:tplc="4B7AE0C2" w:tentative="1">
      <w:start w:val="1"/>
      <w:numFmt w:val="bullet"/>
      <w:lvlText w:val="•"/>
      <w:lvlJc w:val="left"/>
      <w:pPr>
        <w:tabs>
          <w:tab w:val="num" w:pos="5760"/>
        </w:tabs>
        <w:ind w:left="5760" w:hanging="360"/>
      </w:pPr>
      <w:rPr>
        <w:rFonts w:ascii="Arial" w:hAnsi="Arial" w:hint="default"/>
      </w:rPr>
    </w:lvl>
    <w:lvl w:ilvl="8" w:tplc="3266D614"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4"/>
  </w:num>
  <w:num w:numId="3">
    <w:abstractNumId w:val="1"/>
  </w:num>
  <w:num w:numId="4">
    <w:abstractNumId w:val="6"/>
  </w:num>
  <w:num w:numId="5">
    <w:abstractNumId w:val="5"/>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D6C"/>
    <w:rsid w:val="00025E09"/>
    <w:rsid w:val="000454A0"/>
    <w:rsid w:val="00053FEE"/>
    <w:rsid w:val="001463ED"/>
    <w:rsid w:val="00223371"/>
    <w:rsid w:val="002F5382"/>
    <w:rsid w:val="00411514"/>
    <w:rsid w:val="004B6FD4"/>
    <w:rsid w:val="00703D17"/>
    <w:rsid w:val="007B0D6C"/>
    <w:rsid w:val="007D3BA0"/>
    <w:rsid w:val="00894507"/>
    <w:rsid w:val="00946B8E"/>
    <w:rsid w:val="00B71197"/>
    <w:rsid w:val="00C84DC3"/>
    <w:rsid w:val="00D02D6C"/>
    <w:rsid w:val="00D83946"/>
    <w:rsid w:val="00E31C4E"/>
    <w:rsid w:val="00E714AE"/>
    <w:rsid w:val="00FA58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115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1514"/>
    <w:rPr>
      <w:rFonts w:ascii="Tahoma" w:hAnsi="Tahoma" w:cs="Tahoma"/>
      <w:sz w:val="16"/>
      <w:szCs w:val="16"/>
    </w:rPr>
  </w:style>
  <w:style w:type="paragraph" w:customStyle="1" w:styleId="Title1">
    <w:name w:val="Title1"/>
    <w:basedOn w:val="Normal"/>
    <w:rsid w:val="00C84DC3"/>
    <w:pPr>
      <w:spacing w:before="100" w:beforeAutospacing="1" w:after="100" w:afterAutospacing="1" w:line="240" w:lineRule="auto"/>
    </w:pPr>
    <w:rPr>
      <w:rFonts w:ascii="Times New Roman" w:eastAsia="Calibri" w:hAnsi="Times New Roman" w:cs="Times New Roman"/>
      <w:sz w:val="24"/>
      <w:szCs w:val="24"/>
    </w:rPr>
  </w:style>
  <w:style w:type="paragraph" w:styleId="ListParagraph">
    <w:name w:val="List Paragraph"/>
    <w:basedOn w:val="Normal"/>
    <w:uiPriority w:val="34"/>
    <w:qFormat/>
    <w:rsid w:val="007D3BA0"/>
    <w:pPr>
      <w:ind w:left="720"/>
      <w:contextualSpacing/>
    </w:pPr>
  </w:style>
  <w:style w:type="paragraph" w:styleId="NoSpacing">
    <w:name w:val="No Spacing"/>
    <w:uiPriority w:val="99"/>
    <w:qFormat/>
    <w:rsid w:val="007D3BA0"/>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7D3B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3BA0"/>
  </w:style>
  <w:style w:type="paragraph" w:styleId="Footer">
    <w:name w:val="footer"/>
    <w:basedOn w:val="Normal"/>
    <w:link w:val="FooterChar"/>
    <w:uiPriority w:val="99"/>
    <w:unhideWhenUsed/>
    <w:rsid w:val="007D3B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3BA0"/>
  </w:style>
  <w:style w:type="paragraph" w:styleId="NormalWeb">
    <w:name w:val="Normal (Web)"/>
    <w:basedOn w:val="Normal"/>
    <w:uiPriority w:val="99"/>
    <w:semiHidden/>
    <w:unhideWhenUsed/>
    <w:rsid w:val="00E714AE"/>
    <w:pPr>
      <w:spacing w:before="100" w:beforeAutospacing="1" w:after="100" w:afterAutospacing="1" w:line="240" w:lineRule="auto"/>
    </w:pPr>
    <w:rPr>
      <w:rFonts w:ascii="Times New Roman" w:eastAsiaTheme="minorEastAsia" w:hAnsi="Times New Roman" w:cs="Times New Roman"/>
      <w:sz w:val="24"/>
      <w:szCs w:val="24"/>
    </w:rPr>
  </w:style>
  <w:style w:type="paragraph" w:styleId="HTMLPreformatted">
    <w:name w:val="HTML Preformatted"/>
    <w:basedOn w:val="Normal"/>
    <w:link w:val="HTMLPreformattedChar"/>
    <w:uiPriority w:val="99"/>
    <w:semiHidden/>
    <w:unhideWhenUsed/>
    <w:rsid w:val="00025E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25E09"/>
    <w:rPr>
      <w:rFonts w:ascii="Courier New" w:eastAsia="Times New Roman" w:hAnsi="Courier New" w:cs="Courier New"/>
      <w:sz w:val="20"/>
      <w:szCs w:val="20"/>
    </w:rPr>
  </w:style>
  <w:style w:type="paragraph" w:styleId="PlainText">
    <w:name w:val="Plain Text"/>
    <w:basedOn w:val="Normal"/>
    <w:link w:val="PlainTextChar"/>
    <w:uiPriority w:val="99"/>
    <w:semiHidden/>
    <w:unhideWhenUsed/>
    <w:rsid w:val="0089450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lainTextChar">
    <w:name w:val="Plain Text Char"/>
    <w:basedOn w:val="DefaultParagraphFont"/>
    <w:link w:val="PlainText"/>
    <w:uiPriority w:val="99"/>
    <w:semiHidden/>
    <w:rsid w:val="00894507"/>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115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1514"/>
    <w:rPr>
      <w:rFonts w:ascii="Tahoma" w:hAnsi="Tahoma" w:cs="Tahoma"/>
      <w:sz w:val="16"/>
      <w:szCs w:val="16"/>
    </w:rPr>
  </w:style>
  <w:style w:type="paragraph" w:customStyle="1" w:styleId="Title1">
    <w:name w:val="Title1"/>
    <w:basedOn w:val="Normal"/>
    <w:rsid w:val="00C84DC3"/>
    <w:pPr>
      <w:spacing w:before="100" w:beforeAutospacing="1" w:after="100" w:afterAutospacing="1" w:line="240" w:lineRule="auto"/>
    </w:pPr>
    <w:rPr>
      <w:rFonts w:ascii="Times New Roman" w:eastAsia="Calibri" w:hAnsi="Times New Roman" w:cs="Times New Roman"/>
      <w:sz w:val="24"/>
      <w:szCs w:val="24"/>
    </w:rPr>
  </w:style>
  <w:style w:type="paragraph" w:styleId="ListParagraph">
    <w:name w:val="List Paragraph"/>
    <w:basedOn w:val="Normal"/>
    <w:uiPriority w:val="34"/>
    <w:qFormat/>
    <w:rsid w:val="007D3BA0"/>
    <w:pPr>
      <w:ind w:left="720"/>
      <w:contextualSpacing/>
    </w:pPr>
  </w:style>
  <w:style w:type="paragraph" w:styleId="NoSpacing">
    <w:name w:val="No Spacing"/>
    <w:uiPriority w:val="99"/>
    <w:qFormat/>
    <w:rsid w:val="007D3BA0"/>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7D3B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3BA0"/>
  </w:style>
  <w:style w:type="paragraph" w:styleId="Footer">
    <w:name w:val="footer"/>
    <w:basedOn w:val="Normal"/>
    <w:link w:val="FooterChar"/>
    <w:uiPriority w:val="99"/>
    <w:unhideWhenUsed/>
    <w:rsid w:val="007D3B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3BA0"/>
  </w:style>
  <w:style w:type="paragraph" w:styleId="NormalWeb">
    <w:name w:val="Normal (Web)"/>
    <w:basedOn w:val="Normal"/>
    <w:uiPriority w:val="99"/>
    <w:semiHidden/>
    <w:unhideWhenUsed/>
    <w:rsid w:val="00E714AE"/>
    <w:pPr>
      <w:spacing w:before="100" w:beforeAutospacing="1" w:after="100" w:afterAutospacing="1" w:line="240" w:lineRule="auto"/>
    </w:pPr>
    <w:rPr>
      <w:rFonts w:ascii="Times New Roman" w:eastAsiaTheme="minorEastAsia" w:hAnsi="Times New Roman" w:cs="Times New Roman"/>
      <w:sz w:val="24"/>
      <w:szCs w:val="24"/>
    </w:rPr>
  </w:style>
  <w:style w:type="paragraph" w:styleId="HTMLPreformatted">
    <w:name w:val="HTML Preformatted"/>
    <w:basedOn w:val="Normal"/>
    <w:link w:val="HTMLPreformattedChar"/>
    <w:uiPriority w:val="99"/>
    <w:semiHidden/>
    <w:unhideWhenUsed/>
    <w:rsid w:val="00025E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25E09"/>
    <w:rPr>
      <w:rFonts w:ascii="Courier New" w:eastAsia="Times New Roman" w:hAnsi="Courier New" w:cs="Courier New"/>
      <w:sz w:val="20"/>
      <w:szCs w:val="20"/>
    </w:rPr>
  </w:style>
  <w:style w:type="paragraph" w:styleId="PlainText">
    <w:name w:val="Plain Text"/>
    <w:basedOn w:val="Normal"/>
    <w:link w:val="PlainTextChar"/>
    <w:uiPriority w:val="99"/>
    <w:semiHidden/>
    <w:unhideWhenUsed/>
    <w:rsid w:val="0089450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lainTextChar">
    <w:name w:val="Plain Text Char"/>
    <w:basedOn w:val="DefaultParagraphFont"/>
    <w:link w:val="PlainText"/>
    <w:uiPriority w:val="99"/>
    <w:semiHidden/>
    <w:rsid w:val="00894507"/>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7180059">
      <w:bodyDiv w:val="1"/>
      <w:marLeft w:val="0"/>
      <w:marRight w:val="0"/>
      <w:marTop w:val="0"/>
      <w:marBottom w:val="0"/>
      <w:divBdr>
        <w:top w:val="none" w:sz="0" w:space="0" w:color="auto"/>
        <w:left w:val="none" w:sz="0" w:space="0" w:color="auto"/>
        <w:bottom w:val="none" w:sz="0" w:space="0" w:color="auto"/>
        <w:right w:val="none" w:sz="0" w:space="0" w:color="auto"/>
      </w:divBdr>
    </w:div>
    <w:div w:id="922379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cid:image001.png@01D172C5.BBBD6390" TargetMode="Externa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848</Words>
  <Characters>4828</Characters>
  <Application>Microsoft Office Word</Application>
  <DocSecurity>4</DocSecurity>
  <Lines>284</Lines>
  <Paragraphs>166</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5510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Pannell, Christy W *HS</cp:lastModifiedBy>
  <cp:revision>2</cp:revision>
  <cp:lastPrinted>2016-03-02T19:16:00Z</cp:lastPrinted>
  <dcterms:created xsi:type="dcterms:W3CDTF">2016-03-04T21:18:00Z</dcterms:created>
  <dcterms:modified xsi:type="dcterms:W3CDTF">2016-03-04T21:18:00Z</dcterms:modified>
</cp:coreProperties>
</file>