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21380" w:rsidRPr="00362495" w:rsidRDefault="00D21380" w:rsidP="00D21380">
      <w:pPr>
        <w:pStyle w:val="NoSpacing"/>
        <w:jc w:val="center"/>
        <w:outlineLvl w:val="0"/>
        <w:rPr>
          <w:rFonts w:ascii="Calibri" w:hAnsi="Calibri"/>
          <w:sz w:val="28"/>
          <w:szCs w:val="28"/>
        </w:rPr>
      </w:pPr>
      <w:bookmarkStart w:id="0" w:name="_GoBack"/>
      <w:bookmarkEnd w:id="0"/>
      <w:r w:rsidRPr="00362495">
        <w:rPr>
          <w:rFonts w:ascii="Calibri" w:hAnsi="Calibri"/>
          <w:sz w:val="28"/>
          <w:szCs w:val="28"/>
        </w:rPr>
        <w:t>University of Virginia Health System</w:t>
      </w:r>
    </w:p>
    <w:p w:rsidR="00D21380" w:rsidRPr="00362495" w:rsidRDefault="00D21380" w:rsidP="00D21380">
      <w:pPr>
        <w:pStyle w:val="NoSpacing"/>
        <w:jc w:val="center"/>
        <w:outlineLvl w:val="0"/>
        <w:rPr>
          <w:rFonts w:ascii="Calibri" w:hAnsi="Calibri"/>
          <w:b/>
          <w:snapToGrid w:val="0"/>
          <w:sz w:val="28"/>
          <w:szCs w:val="28"/>
        </w:rPr>
      </w:pPr>
      <w:r w:rsidRPr="00362495">
        <w:rPr>
          <w:rFonts w:ascii="Calibri" w:hAnsi="Calibri"/>
          <w:b/>
          <w:snapToGrid w:val="0"/>
          <w:sz w:val="28"/>
          <w:szCs w:val="28"/>
        </w:rPr>
        <w:t>Medical Laboratories</w:t>
      </w:r>
    </w:p>
    <w:p w:rsidR="00D21380" w:rsidRPr="00362495" w:rsidRDefault="00D21380" w:rsidP="00D21380">
      <w:pPr>
        <w:pStyle w:val="NoSpacing"/>
        <w:jc w:val="center"/>
        <w:outlineLvl w:val="0"/>
        <w:rPr>
          <w:rFonts w:ascii="Calibri" w:hAnsi="Calibri"/>
          <w:b/>
          <w:i/>
          <w:snapToGrid w:val="0"/>
          <w:sz w:val="28"/>
          <w:szCs w:val="28"/>
        </w:rPr>
      </w:pPr>
      <w:r w:rsidRPr="00362495">
        <w:rPr>
          <w:rFonts w:ascii="Calibri" w:hAnsi="Calibri"/>
          <w:b/>
          <w:i/>
          <w:snapToGrid w:val="0"/>
          <w:sz w:val="28"/>
          <w:szCs w:val="28"/>
        </w:rPr>
        <w:t>“Quality You Expect, Service You Deserve”</w:t>
      </w:r>
    </w:p>
    <w:p w:rsidR="00D21380" w:rsidRPr="006B6F55" w:rsidRDefault="00D21380" w:rsidP="00D21380">
      <w:pPr>
        <w:pStyle w:val="NoSpacing"/>
        <w:jc w:val="center"/>
        <w:rPr>
          <w:rFonts w:ascii="Calibri" w:hAnsi="Calibri"/>
          <w:b/>
          <w:i/>
          <w:snapToGrid w:val="0"/>
          <w:sz w:val="26"/>
          <w:szCs w:val="26"/>
        </w:rPr>
      </w:pPr>
    </w:p>
    <w:p w:rsidR="00D21380" w:rsidRPr="006B6F55" w:rsidRDefault="00D21380" w:rsidP="00D21380">
      <w:pPr>
        <w:keepNext/>
        <w:widowControl w:val="0"/>
        <w:jc w:val="center"/>
        <w:outlineLvl w:val="0"/>
        <w:rPr>
          <w:rFonts w:ascii="Calibri" w:hAnsi="Calibri"/>
          <w:b/>
          <w:i/>
          <w:snapToGrid w:val="0"/>
          <w:sz w:val="26"/>
          <w:szCs w:val="26"/>
          <w:u w:val="single"/>
        </w:rPr>
      </w:pPr>
      <w:r w:rsidRPr="006B6F55">
        <w:rPr>
          <w:rFonts w:ascii="Calibri" w:hAnsi="Calibri"/>
          <w:b/>
          <w:i/>
          <w:snapToGrid w:val="0"/>
          <w:sz w:val="26"/>
          <w:szCs w:val="26"/>
          <w:u w:val="single"/>
        </w:rPr>
        <w:t>LABORATORY MEDICINE UPDATE</w:t>
      </w:r>
    </w:p>
    <w:p w:rsidR="00D21380" w:rsidRDefault="00D21380" w:rsidP="00D21380">
      <w:pPr>
        <w:spacing w:before="100" w:beforeAutospacing="1" w:after="100" w:afterAutospacing="1"/>
        <w:jc w:val="center"/>
        <w:rPr>
          <w:snapToGrid w:val="0"/>
          <w:sz w:val="26"/>
          <w:szCs w:val="26"/>
          <w:u w:val="single"/>
        </w:rPr>
      </w:pPr>
      <w:r>
        <w:rPr>
          <w:snapToGrid w:val="0"/>
          <w:sz w:val="26"/>
          <w:szCs w:val="26"/>
          <w:u w:val="single"/>
        </w:rPr>
        <w:t>June 3</w:t>
      </w:r>
      <w:r w:rsidRPr="00362495">
        <w:rPr>
          <w:snapToGrid w:val="0"/>
          <w:sz w:val="26"/>
          <w:szCs w:val="26"/>
          <w:u w:val="single"/>
        </w:rPr>
        <w:t>, 2016</w:t>
      </w:r>
    </w:p>
    <w:p w:rsidR="00D21380" w:rsidRDefault="00D21380" w:rsidP="00D21380">
      <w:pPr>
        <w:spacing w:line="240" w:lineRule="auto"/>
        <w:jc w:val="center"/>
      </w:pPr>
      <w:r>
        <w:rPr>
          <w:b/>
        </w:rPr>
        <w:t>Enzymatic Method for Creatinine Determinations</w:t>
      </w:r>
    </w:p>
    <w:p w:rsidR="00D21380" w:rsidRPr="00F85E4B" w:rsidRDefault="00D21380" w:rsidP="00D213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eastAsia="Times New Roman" w:cs="Courier New"/>
        </w:rPr>
      </w:pPr>
      <w:r w:rsidRPr="00F85E4B">
        <w:rPr>
          <w:rFonts w:eastAsia="Times New Roman" w:cs="Courier New"/>
        </w:rPr>
        <w:t>Effective June 1, 2016, the method for creatinine determinations changed from the colorimetric Jaffe (alkaline picrate) method to an enzymatic method.  The new method gives essentially identical results except in two conditions: ketoacidosis and infants.  Where the Jaffe method suffered from a positive bias in ketoacidosis (and with certain drugs), the enzymatic method does not.  The new method gives slightly lower results (0.2 mg/dL) in infants due to the better specificity of enzymatic method.  Please contact the Clinical Chemistry Director on-call at pic 1657 with questions.</w:t>
      </w:r>
    </w:p>
    <w:p w:rsidR="00D21380" w:rsidRPr="00F85E4B" w:rsidRDefault="00D21380" w:rsidP="00D21380">
      <w:pPr>
        <w:spacing w:line="240" w:lineRule="auto"/>
      </w:pPr>
    </w:p>
    <w:p w:rsidR="00D21380" w:rsidRPr="00B255E1" w:rsidRDefault="00D21380" w:rsidP="00D21380">
      <w:pPr>
        <w:spacing w:line="240" w:lineRule="auto"/>
        <w:ind w:left="360"/>
        <w:jc w:val="center"/>
        <w:rPr>
          <w:b/>
        </w:rPr>
      </w:pPr>
      <w:r w:rsidRPr="00B255E1">
        <w:rPr>
          <w:b/>
        </w:rPr>
        <w:t>“Heparin level (anti-Xa)” replaces “PTT, for anticoagulant infusions”</w:t>
      </w:r>
    </w:p>
    <w:p w:rsidR="00D21380" w:rsidRPr="00B255E1" w:rsidRDefault="00D21380" w:rsidP="00D21380">
      <w:pPr>
        <w:spacing w:line="240" w:lineRule="auto"/>
      </w:pPr>
      <w:r w:rsidRPr="00B255E1">
        <w:t>On June 7</w:t>
      </w:r>
      <w:r w:rsidRPr="00B255E1">
        <w:rPr>
          <w:vertAlign w:val="superscript"/>
        </w:rPr>
        <w:t>th</w:t>
      </w:r>
      <w:r w:rsidRPr="00B255E1">
        <w:t>, 2016 the “PTT, for anticoagulant infusions” will no longer be available as an ordering option.</w:t>
      </w:r>
    </w:p>
    <w:p w:rsidR="00D21380" w:rsidRPr="00B255E1" w:rsidRDefault="00D21380" w:rsidP="00D21380">
      <w:pPr>
        <w:spacing w:line="240" w:lineRule="auto"/>
      </w:pPr>
      <w:r w:rsidRPr="00B255E1">
        <w:t>The “Heparin level (anti-Xa)” should be used to monitor unfractionated and low molecular weight (LMW) heparin.</w:t>
      </w:r>
    </w:p>
    <w:p w:rsidR="00D21380" w:rsidRPr="00B255E1" w:rsidRDefault="00D21380" w:rsidP="00D21380">
      <w:pPr>
        <w:spacing w:line="240" w:lineRule="auto"/>
      </w:pPr>
      <w:r w:rsidRPr="00B255E1">
        <w:t>The “PTT” (Partial Thromboplastin Time) test will still be offered for diagnostic purposes and for monitoring argatroban and bivalirudin infusions only.  The critical value will remain at greater than 60.0 secs and will be called to the ordering physician.</w:t>
      </w:r>
    </w:p>
    <w:p w:rsidR="00D21380" w:rsidRDefault="00D21380" w:rsidP="00D21380">
      <w:pPr>
        <w:spacing w:line="240" w:lineRule="auto"/>
        <w:ind w:left="360"/>
        <w:jc w:val="center"/>
        <w:rPr>
          <w:b/>
        </w:rPr>
      </w:pPr>
    </w:p>
    <w:p w:rsidR="00D21380" w:rsidRPr="000E7162" w:rsidRDefault="00D21380" w:rsidP="00D21380">
      <w:pPr>
        <w:spacing w:line="240" w:lineRule="auto"/>
        <w:ind w:left="360"/>
        <w:jc w:val="center"/>
        <w:rPr>
          <w:b/>
        </w:rPr>
      </w:pPr>
      <w:r w:rsidRPr="000E7162">
        <w:rPr>
          <w:b/>
        </w:rPr>
        <w:t>Lupus Anticoagulant Panel: preliminary interpretation available in EPIC</w:t>
      </w:r>
    </w:p>
    <w:p w:rsidR="00D21380" w:rsidRPr="00B255E1" w:rsidRDefault="00D21380" w:rsidP="00D21380">
      <w:pPr>
        <w:spacing w:line="240" w:lineRule="auto"/>
        <w:jc w:val="both"/>
      </w:pPr>
      <w:r w:rsidRPr="00B255E1">
        <w:t>Lupus Anticoagulant testing involves multiple assays to determine the presence of a lupus anticoagulant. We are providing an immediate interpretive comment when the numerical results are reported, which can be viewed under “Special Coagulation Report” in Results Review and in Chart Review under the Lab Tab.</w:t>
      </w:r>
    </w:p>
    <w:p w:rsidR="00D21380" w:rsidRDefault="00D21380" w:rsidP="00D21380">
      <w:pPr>
        <w:spacing w:before="100" w:beforeAutospacing="1" w:after="100" w:afterAutospacing="1" w:line="240" w:lineRule="auto"/>
        <w:jc w:val="center"/>
        <w:outlineLvl w:val="0"/>
        <w:rPr>
          <w:rFonts w:eastAsia="Times New Roman" w:cs="Times New Roman"/>
          <w:b/>
          <w:bCs/>
          <w:iCs/>
          <w:kern w:val="36"/>
        </w:rPr>
      </w:pPr>
    </w:p>
    <w:p w:rsidR="00D21380" w:rsidRPr="002703DE" w:rsidRDefault="00D21380" w:rsidP="00D21380">
      <w:pPr>
        <w:spacing w:before="100" w:beforeAutospacing="1" w:after="100" w:afterAutospacing="1" w:line="240" w:lineRule="auto"/>
        <w:jc w:val="center"/>
        <w:outlineLvl w:val="0"/>
        <w:rPr>
          <w:b/>
        </w:rPr>
      </w:pPr>
      <w:r w:rsidRPr="002703DE">
        <w:rPr>
          <w:rFonts w:eastAsia="Times New Roman" w:cs="Times New Roman"/>
          <w:b/>
          <w:bCs/>
          <w:iCs/>
          <w:kern w:val="36"/>
        </w:rPr>
        <w:t xml:space="preserve">New orderable tests for </w:t>
      </w:r>
      <w:r w:rsidRPr="002703DE">
        <w:rPr>
          <w:rFonts w:eastAsia="Times New Roman" w:cs="Times New Roman"/>
          <w:b/>
          <w:bCs/>
          <w:i/>
          <w:iCs/>
          <w:kern w:val="36"/>
        </w:rPr>
        <w:t>Neisseria gonorrh</w:t>
      </w:r>
      <w:r>
        <w:rPr>
          <w:rFonts w:eastAsia="Times New Roman" w:cs="Times New Roman"/>
          <w:b/>
          <w:bCs/>
          <w:i/>
          <w:iCs/>
          <w:kern w:val="36"/>
        </w:rPr>
        <w:t>o</w:t>
      </w:r>
      <w:r w:rsidRPr="002703DE">
        <w:rPr>
          <w:rFonts w:eastAsia="Times New Roman" w:cs="Times New Roman"/>
          <w:b/>
          <w:bCs/>
          <w:i/>
          <w:iCs/>
          <w:kern w:val="36"/>
        </w:rPr>
        <w:t>ea</w:t>
      </w:r>
      <w:r w:rsidRPr="002703DE">
        <w:rPr>
          <w:rFonts w:eastAsia="Times New Roman" w:cs="Times New Roman"/>
          <w:b/>
          <w:bCs/>
          <w:kern w:val="36"/>
        </w:rPr>
        <w:t xml:space="preserve">, Miscellaneous Sites, and </w:t>
      </w:r>
      <w:r w:rsidRPr="002703DE">
        <w:rPr>
          <w:b/>
          <w:i/>
          <w:iCs/>
        </w:rPr>
        <w:t>Chlamydia trachomatis</w:t>
      </w:r>
      <w:r w:rsidRPr="002703DE">
        <w:rPr>
          <w:b/>
        </w:rPr>
        <w:t>, Miscellaneous Sites</w:t>
      </w:r>
    </w:p>
    <w:p w:rsidR="00D21380" w:rsidRDefault="00D21380" w:rsidP="00D21380">
      <w:pPr>
        <w:spacing w:line="240" w:lineRule="auto"/>
      </w:pPr>
      <w:r>
        <w:t xml:space="preserve">Two new orderable tests have been established in Epic for </w:t>
      </w:r>
      <w:r>
        <w:rPr>
          <w:i/>
        </w:rPr>
        <w:t>N. gonorrhoea</w:t>
      </w:r>
      <w:r>
        <w:t xml:space="preserve"> and </w:t>
      </w:r>
      <w:r>
        <w:rPr>
          <w:i/>
        </w:rPr>
        <w:t xml:space="preserve">Chlamydia </w:t>
      </w:r>
      <w:r>
        <w:t xml:space="preserve">testing of </w:t>
      </w:r>
      <w:r w:rsidRPr="002703DE">
        <w:t>oral/throat, ocular, r</w:t>
      </w:r>
      <w:r>
        <w:t>ectal/anal, and fluid specimens.  The APTIMA collection kit must be used.  Testing will be performed by Mayo Medical Laboratories.</w:t>
      </w:r>
    </w:p>
    <w:p w:rsidR="00D21380" w:rsidRDefault="00D21380" w:rsidP="00D21380">
      <w:pPr>
        <w:spacing w:line="240" w:lineRule="auto"/>
      </w:pPr>
    </w:p>
    <w:p w:rsidR="00D21380" w:rsidRDefault="00D21380" w:rsidP="00D21380">
      <w:pPr>
        <w:jc w:val="center"/>
        <w:rPr>
          <w:b/>
        </w:rPr>
      </w:pPr>
      <w:r>
        <w:rPr>
          <w:b/>
        </w:rPr>
        <w:br w:type="page"/>
      </w:r>
      <w:r>
        <w:rPr>
          <w:b/>
        </w:rPr>
        <w:lastRenderedPageBreak/>
        <w:t>HIV Integrase assay now orderable in Epic</w:t>
      </w:r>
    </w:p>
    <w:p w:rsidR="00D21380" w:rsidRDefault="00D21380" w:rsidP="00D21380">
      <w:pPr>
        <w:spacing w:line="240" w:lineRule="auto"/>
      </w:pPr>
      <w:r>
        <w:t>The emergence of integrase drug resistance mutations has been observed in patients experiencing virologic failure on raltegravir in clinical trials. Twenty three percent of patients receiving raltegravir in a clinical trial experienced virologic failure at 48 weeks and genotypic analysis detected raltegravir associated resistance mutations in 68% of virologic failures. The HIV Integrase Genotype assay amplifies and sequences the HIV-1 integrase gene and reports mutations at positions associated with integrase inhibitor drug resistance. This assay is now available as an orderable test in Epic as HIV Integrase Genotype; testing will be performed by Quest Diagnostics Laboratories.</w:t>
      </w:r>
    </w:p>
    <w:p w:rsidR="00B255E1" w:rsidRPr="00B255E1" w:rsidRDefault="00B255E1" w:rsidP="000E7162">
      <w:pPr>
        <w:spacing w:line="240" w:lineRule="auto"/>
      </w:pPr>
    </w:p>
    <w:p w:rsidR="00E86E55" w:rsidRPr="00E86E55" w:rsidRDefault="00E86E55" w:rsidP="00E86E55">
      <w:pPr>
        <w:spacing w:line="240" w:lineRule="auto"/>
        <w:jc w:val="center"/>
        <w:outlineLvl w:val="0"/>
        <w:rPr>
          <w:b/>
        </w:rPr>
      </w:pPr>
      <w:r w:rsidRPr="00E86E55">
        <w:rPr>
          <w:b/>
        </w:rPr>
        <w:t xml:space="preserve">HIV-1 Viral Load Analysis by the Abbott m2000 RealTime HIV-1 Test </w:t>
      </w:r>
    </w:p>
    <w:p w:rsidR="00E86E55" w:rsidRPr="00E86E55" w:rsidRDefault="00E86E55" w:rsidP="00E86E55">
      <w:pPr>
        <w:spacing w:line="240" w:lineRule="auto"/>
      </w:pPr>
      <w:r w:rsidRPr="00E86E55">
        <w:t xml:space="preserve"> As of </w:t>
      </w:r>
      <w:r w:rsidRPr="00E86E55">
        <w:rPr>
          <w:u w:val="single"/>
        </w:rPr>
        <w:t>July 11, 2016</w:t>
      </w:r>
      <w:r w:rsidRPr="00E86E55">
        <w:t xml:space="preserve">, the Clinical Microbiology and Molecular Diagnostics Laboratory will implement a new method for HIV-1 viral load analysis.  The new </w:t>
      </w:r>
      <w:r w:rsidRPr="00E86E55">
        <w:rPr>
          <w:color w:val="000000"/>
        </w:rPr>
        <w:t>Abbott m2000 RealTime HIV-1 test provides a stati</w:t>
      </w:r>
      <w:r w:rsidR="002B5853">
        <w:rPr>
          <w:color w:val="000000"/>
        </w:rPr>
        <w:t>sti</w:t>
      </w:r>
      <w:r w:rsidRPr="00E86E55">
        <w:rPr>
          <w:color w:val="000000"/>
        </w:rPr>
        <w:t>cally comparable dynamic range: from 40 copies/mL to 10,000,000 copies/mL as compared to 20</w:t>
      </w:r>
      <w:r w:rsidR="00612F2F">
        <w:rPr>
          <w:color w:val="000000"/>
        </w:rPr>
        <w:t xml:space="preserve"> </w:t>
      </w:r>
      <w:proofErr w:type="gramStart"/>
      <w:r w:rsidR="00612F2F">
        <w:rPr>
          <w:color w:val="000000"/>
        </w:rPr>
        <w:t xml:space="preserve">to </w:t>
      </w:r>
      <w:r w:rsidRPr="00E86E55">
        <w:rPr>
          <w:color w:val="000000"/>
        </w:rPr>
        <w:t>10,000,000</w:t>
      </w:r>
      <w:r w:rsidR="00612F2F">
        <w:rPr>
          <w:color w:val="000000"/>
        </w:rPr>
        <w:t xml:space="preserve"> </w:t>
      </w:r>
      <w:r w:rsidRPr="00E86E55">
        <w:rPr>
          <w:color w:val="000000"/>
        </w:rPr>
        <w:t>copies/mL</w:t>
      </w:r>
      <w:proofErr w:type="gramEnd"/>
      <w:r w:rsidRPr="00E86E55">
        <w:rPr>
          <w:color w:val="000000"/>
        </w:rPr>
        <w:t xml:space="preserve"> reported previously.  </w:t>
      </w:r>
      <w:r w:rsidRPr="00E86E55">
        <w:t xml:space="preserve">Viral load values were comparable between methods.  In general, the Abbott method provided better precision at the lower end of the linear range.    </w:t>
      </w:r>
    </w:p>
    <w:p w:rsidR="00E86E55" w:rsidRPr="00E86E55" w:rsidRDefault="00E86E55" w:rsidP="00E86E55">
      <w:pPr>
        <w:spacing w:after="0" w:line="240" w:lineRule="auto"/>
        <w:rPr>
          <w:color w:val="000000"/>
        </w:rPr>
      </w:pPr>
      <w:r w:rsidRPr="00E86E55">
        <w:rPr>
          <w:color w:val="000000"/>
        </w:rPr>
        <w:t xml:space="preserve">Results will read as follows: </w:t>
      </w:r>
    </w:p>
    <w:p w:rsidR="00E86E55" w:rsidRPr="00E86E55" w:rsidRDefault="00E86E55" w:rsidP="00E86E55">
      <w:pPr>
        <w:pStyle w:val="ListParagraph"/>
        <w:numPr>
          <w:ilvl w:val="0"/>
          <w:numId w:val="1"/>
        </w:numPr>
        <w:rPr>
          <w:rFonts w:asciiTheme="minorHAnsi" w:hAnsiTheme="minorHAnsi"/>
          <w:color w:val="000000"/>
          <w:sz w:val="22"/>
          <w:szCs w:val="22"/>
        </w:rPr>
      </w:pPr>
      <w:r w:rsidRPr="00E86E55">
        <w:rPr>
          <w:rFonts w:asciiTheme="minorHAnsi" w:hAnsiTheme="minorHAnsi"/>
          <w:color w:val="000000"/>
          <w:sz w:val="22"/>
          <w:szCs w:val="22"/>
        </w:rPr>
        <w:t>For patients with a viral load at or above the limit of quantification of 40 copies/mL, a numeric value and the log base 10 will be reported.</w:t>
      </w:r>
    </w:p>
    <w:p w:rsidR="00E86E55" w:rsidRPr="00E86E55" w:rsidRDefault="00E86E55" w:rsidP="00E86E55">
      <w:pPr>
        <w:pStyle w:val="ListParagraph"/>
        <w:numPr>
          <w:ilvl w:val="0"/>
          <w:numId w:val="1"/>
        </w:numPr>
        <w:rPr>
          <w:rFonts w:asciiTheme="minorHAnsi" w:hAnsiTheme="minorHAnsi"/>
          <w:color w:val="000000"/>
          <w:sz w:val="22"/>
          <w:szCs w:val="22"/>
        </w:rPr>
      </w:pPr>
      <w:r w:rsidRPr="00E86E55">
        <w:rPr>
          <w:rFonts w:asciiTheme="minorHAnsi" w:hAnsiTheme="minorHAnsi"/>
          <w:color w:val="000000"/>
          <w:sz w:val="22"/>
          <w:szCs w:val="22"/>
        </w:rPr>
        <w:t>For patients with no measurable viral load, the result “None Detected” will be reported.</w:t>
      </w:r>
    </w:p>
    <w:p w:rsidR="00E86E55" w:rsidRPr="00E86E55" w:rsidRDefault="00E86E55" w:rsidP="00E86E55">
      <w:pPr>
        <w:pStyle w:val="ListParagraph"/>
        <w:numPr>
          <w:ilvl w:val="0"/>
          <w:numId w:val="1"/>
        </w:numPr>
        <w:rPr>
          <w:rFonts w:asciiTheme="minorHAnsi" w:hAnsiTheme="minorHAnsi"/>
          <w:color w:val="000000"/>
          <w:sz w:val="22"/>
          <w:szCs w:val="22"/>
        </w:rPr>
      </w:pPr>
      <w:r w:rsidRPr="00E86E55">
        <w:rPr>
          <w:rFonts w:asciiTheme="minorHAnsi" w:hAnsiTheme="minorHAnsi"/>
          <w:color w:val="000000"/>
          <w:sz w:val="22"/>
          <w:szCs w:val="22"/>
        </w:rPr>
        <w:t xml:space="preserve">For patients with a detectable but not quantifiable viral load, the results “Virus detected, </w:t>
      </w:r>
      <w:r w:rsidRPr="00E86E55">
        <w:rPr>
          <w:rFonts w:asciiTheme="minorHAnsi" w:hAnsiTheme="minorHAnsi"/>
          <w:sz w:val="22"/>
          <w:szCs w:val="22"/>
        </w:rPr>
        <w:t>but quantified at less than 40 copies/mL” and “Virus detected, but quantified at less than 1.60 log base 10” will be reported.  This indicates that HIV-1 nucleic acid is present, but at a level below the limit of quantification.</w:t>
      </w:r>
    </w:p>
    <w:p w:rsidR="00E86E55" w:rsidRDefault="00E86E55" w:rsidP="00E86E55">
      <w:pPr>
        <w:spacing w:line="240" w:lineRule="auto"/>
        <w:rPr>
          <w:b/>
        </w:rPr>
      </w:pPr>
    </w:p>
    <w:p w:rsidR="00E86E55" w:rsidRPr="00E86E55" w:rsidRDefault="00E86E55" w:rsidP="00E86E55">
      <w:pPr>
        <w:spacing w:line="240" w:lineRule="auto"/>
        <w:rPr>
          <w:color w:val="000000"/>
        </w:rPr>
      </w:pPr>
      <w:r w:rsidRPr="00E86E55">
        <w:rPr>
          <w:b/>
        </w:rPr>
        <w:t>Required specimen</w:t>
      </w:r>
      <w:r w:rsidRPr="00E86E55">
        <w:t>: Approved specimen type has not changed.  Testing requires EDTA-anticoagulated plasma (pink top tube).  Required volume is 10 mL blood (3 mL plasma minimum).</w:t>
      </w:r>
    </w:p>
    <w:p w:rsidR="00E86E55" w:rsidRPr="00E86E55" w:rsidRDefault="00E86E55" w:rsidP="00E86E55">
      <w:pPr>
        <w:spacing w:line="240" w:lineRule="auto"/>
      </w:pPr>
      <w:r w:rsidRPr="00E86E55">
        <w:rPr>
          <w:b/>
        </w:rPr>
        <w:t xml:space="preserve">Testing Schedule:  </w:t>
      </w:r>
      <w:r w:rsidRPr="00E86E55">
        <w:t xml:space="preserve">HIV-1 viral load testing will be performed twice weekly, as needed to meet the needs of the current caseload.  </w:t>
      </w:r>
    </w:p>
    <w:p w:rsidR="00E86E55" w:rsidRPr="00E86E55" w:rsidRDefault="00E86E55" w:rsidP="00E86E55">
      <w:pPr>
        <w:spacing w:line="240" w:lineRule="auto"/>
      </w:pPr>
      <w:r w:rsidRPr="00E86E55">
        <w:t>Please contact the Clinical Microbiology Director on call at PIC 1221 with questions.</w:t>
      </w:r>
    </w:p>
    <w:p w:rsidR="00B255E1" w:rsidRDefault="00B255E1" w:rsidP="000E7162">
      <w:pPr>
        <w:spacing w:line="240" w:lineRule="auto"/>
      </w:pPr>
    </w:p>
    <w:p w:rsidR="00D21380" w:rsidRDefault="00D21380">
      <w:pPr>
        <w:rPr>
          <w:b/>
        </w:rPr>
      </w:pPr>
      <w:r>
        <w:rPr>
          <w:b/>
        </w:rPr>
        <w:br w:type="page"/>
      </w:r>
    </w:p>
    <w:p w:rsidR="00F85E4B" w:rsidRPr="00426959" w:rsidRDefault="00F85E4B" w:rsidP="00F85E4B">
      <w:pPr>
        <w:spacing w:line="240" w:lineRule="auto"/>
        <w:jc w:val="center"/>
        <w:rPr>
          <w:b/>
        </w:rPr>
      </w:pPr>
      <w:r w:rsidRPr="00426959">
        <w:rPr>
          <w:b/>
        </w:rPr>
        <w:lastRenderedPageBreak/>
        <w:t>Dollar Signs Coming to Epic</w:t>
      </w:r>
    </w:p>
    <w:p w:rsidR="009F22DA" w:rsidRPr="00426959" w:rsidRDefault="009F22DA" w:rsidP="00426959">
      <w:pPr>
        <w:pStyle w:val="HTMLPreformatted"/>
        <w:rPr>
          <w:rFonts w:asciiTheme="minorHAnsi" w:hAnsiTheme="minorHAnsi"/>
          <w:sz w:val="22"/>
          <w:szCs w:val="22"/>
        </w:rPr>
      </w:pPr>
      <w:r w:rsidRPr="00426959">
        <w:rPr>
          <w:rFonts w:asciiTheme="minorHAnsi" w:hAnsiTheme="minorHAnsi"/>
          <w:sz w:val="22"/>
          <w:szCs w:val="22"/>
        </w:rPr>
        <w:t xml:space="preserve">With the June 14 Epic update, the Laboratory Utilization Subcommittee, </w:t>
      </w:r>
      <w:r w:rsidR="00426959" w:rsidRPr="00426959">
        <w:rPr>
          <w:rFonts w:asciiTheme="minorHAnsi" w:hAnsiTheme="minorHAnsi"/>
          <w:sz w:val="22"/>
          <w:szCs w:val="22"/>
        </w:rPr>
        <w:t>co-</w:t>
      </w:r>
      <w:r w:rsidRPr="00426959">
        <w:rPr>
          <w:rFonts w:asciiTheme="minorHAnsi" w:hAnsiTheme="minorHAnsi"/>
          <w:sz w:val="22"/>
          <w:szCs w:val="22"/>
        </w:rPr>
        <w:t>chaired by Dr. George Hoke</w:t>
      </w:r>
      <w:r w:rsidR="00426959" w:rsidRPr="00426959">
        <w:rPr>
          <w:rFonts w:asciiTheme="minorHAnsi" w:hAnsiTheme="minorHAnsi"/>
          <w:sz w:val="22"/>
          <w:szCs w:val="22"/>
        </w:rPr>
        <w:t xml:space="preserve"> and Dr. Dede Haverstick</w:t>
      </w:r>
      <w:r w:rsidRPr="00426959">
        <w:rPr>
          <w:rFonts w:asciiTheme="minorHAnsi" w:hAnsiTheme="minorHAnsi"/>
          <w:sz w:val="22"/>
          <w:szCs w:val="22"/>
        </w:rPr>
        <w:t xml:space="preserve">, will implement on-screen </w:t>
      </w:r>
      <w:proofErr w:type="gramStart"/>
      <w:r w:rsidRPr="00426959">
        <w:rPr>
          <w:rFonts w:asciiTheme="minorHAnsi" w:hAnsiTheme="minorHAnsi"/>
          <w:sz w:val="22"/>
          <w:szCs w:val="22"/>
        </w:rPr>
        <w:t>changes</w:t>
      </w:r>
      <w:proofErr w:type="gramEnd"/>
      <w:r w:rsidRPr="00426959">
        <w:rPr>
          <w:rFonts w:asciiTheme="minorHAnsi" w:hAnsiTheme="minorHAnsi"/>
          <w:sz w:val="22"/>
          <w:szCs w:val="22"/>
        </w:rPr>
        <w:t xml:space="preserve"> </w:t>
      </w:r>
      <w:r w:rsidR="00426959" w:rsidRPr="00426959">
        <w:rPr>
          <w:rFonts w:asciiTheme="minorHAnsi" w:hAnsiTheme="minorHAnsi"/>
          <w:sz w:val="22"/>
          <w:szCs w:val="22"/>
        </w:rPr>
        <w:t>in Epic.  This information is being provided to clinicians to allow them to make more informed decisions when ordering laboratory testing.</w:t>
      </w:r>
      <w:r w:rsidR="00426959">
        <w:rPr>
          <w:rFonts w:asciiTheme="minorHAnsi" w:hAnsiTheme="minorHAnsi"/>
          <w:sz w:val="22"/>
          <w:szCs w:val="22"/>
        </w:rPr>
        <w:t xml:space="preserve">  </w:t>
      </w:r>
      <w:r w:rsidRPr="00426959">
        <w:rPr>
          <w:rFonts w:asciiTheme="minorHAnsi" w:hAnsiTheme="minorHAnsi"/>
          <w:sz w:val="22"/>
          <w:szCs w:val="22"/>
        </w:rPr>
        <w:t xml:space="preserve">A subset of tests (~25) will now have from 1 to 5 dollar signs ($) in a new column; see screenshots below.  The approximate </w:t>
      </w:r>
      <w:r w:rsidR="00612F2F" w:rsidRPr="00426959">
        <w:rPr>
          <w:rFonts w:asciiTheme="minorHAnsi" w:hAnsiTheme="minorHAnsi"/>
          <w:sz w:val="22"/>
          <w:szCs w:val="22"/>
        </w:rPr>
        <w:t xml:space="preserve">cost to the patient </w:t>
      </w:r>
      <w:r w:rsidRPr="00426959">
        <w:rPr>
          <w:rFonts w:asciiTheme="minorHAnsi" w:hAnsiTheme="minorHAnsi"/>
          <w:sz w:val="22"/>
          <w:szCs w:val="22"/>
        </w:rPr>
        <w:t>corresponding to the numbers of dollar signs is in the table below</w:t>
      </w:r>
      <w:r w:rsidR="00612F2F" w:rsidRPr="00426959">
        <w:rPr>
          <w:rFonts w:asciiTheme="minorHAnsi" w:hAnsiTheme="minorHAnsi"/>
          <w:sz w:val="22"/>
          <w:szCs w:val="22"/>
        </w:rPr>
        <w:t>.</w:t>
      </w:r>
    </w:p>
    <w:p w:rsidR="00F85E4B" w:rsidRPr="00F85E4B" w:rsidRDefault="00F85E4B" w:rsidP="00F85E4B">
      <w:pPr>
        <w:spacing w:line="240" w:lineRule="auto"/>
      </w:pPr>
    </w:p>
    <w:tbl>
      <w:tblPr>
        <w:tblStyle w:val="TableGrid"/>
        <w:tblW w:w="0" w:type="auto"/>
        <w:tblInd w:w="3168" w:type="dxa"/>
        <w:tblLook w:val="04A0" w:firstRow="1" w:lastRow="0" w:firstColumn="1" w:lastColumn="0" w:noHBand="0" w:noVBand="1"/>
      </w:tblPr>
      <w:tblGrid>
        <w:gridCol w:w="1620"/>
        <w:gridCol w:w="2250"/>
      </w:tblGrid>
      <w:tr w:rsidR="00753D63" w:rsidRPr="00753D63" w:rsidTr="00753D63">
        <w:tc>
          <w:tcPr>
            <w:tcW w:w="1620" w:type="dxa"/>
          </w:tcPr>
          <w:p w:rsidR="00753D63" w:rsidRPr="00753D63" w:rsidRDefault="00753D63" w:rsidP="00753D63">
            <w:pPr>
              <w:jc w:val="center"/>
              <w:rPr>
                <w:b/>
              </w:rPr>
            </w:pPr>
            <w:r w:rsidRPr="00753D63">
              <w:rPr>
                <w:b/>
              </w:rPr>
              <w:t>Dollar Sign</w:t>
            </w:r>
          </w:p>
        </w:tc>
        <w:tc>
          <w:tcPr>
            <w:tcW w:w="2250" w:type="dxa"/>
          </w:tcPr>
          <w:p w:rsidR="00753D63" w:rsidRPr="00753D63" w:rsidRDefault="00753D63" w:rsidP="00753D63">
            <w:pPr>
              <w:jc w:val="center"/>
              <w:rPr>
                <w:b/>
              </w:rPr>
            </w:pPr>
            <w:r w:rsidRPr="00753D63">
              <w:rPr>
                <w:b/>
              </w:rPr>
              <w:t>Test Cost</w:t>
            </w:r>
          </w:p>
        </w:tc>
      </w:tr>
      <w:tr w:rsidR="00753D63" w:rsidTr="00753D63">
        <w:tc>
          <w:tcPr>
            <w:tcW w:w="1620" w:type="dxa"/>
          </w:tcPr>
          <w:p w:rsidR="00753D63" w:rsidRDefault="00753D63" w:rsidP="00753D63">
            <w:pPr>
              <w:jc w:val="right"/>
            </w:pPr>
            <w:r>
              <w:t>$</w:t>
            </w:r>
          </w:p>
        </w:tc>
        <w:tc>
          <w:tcPr>
            <w:tcW w:w="2250" w:type="dxa"/>
          </w:tcPr>
          <w:p w:rsidR="00753D63" w:rsidRDefault="00753D63" w:rsidP="00753D63">
            <w:r>
              <w:t>Less than $100</w:t>
            </w:r>
          </w:p>
        </w:tc>
      </w:tr>
      <w:tr w:rsidR="00753D63" w:rsidTr="00753D63">
        <w:tc>
          <w:tcPr>
            <w:tcW w:w="1620" w:type="dxa"/>
          </w:tcPr>
          <w:p w:rsidR="00753D63" w:rsidRDefault="00753D63" w:rsidP="00753D63">
            <w:pPr>
              <w:jc w:val="right"/>
            </w:pPr>
            <w:r>
              <w:t>$$</w:t>
            </w:r>
          </w:p>
        </w:tc>
        <w:tc>
          <w:tcPr>
            <w:tcW w:w="2250" w:type="dxa"/>
          </w:tcPr>
          <w:p w:rsidR="00753D63" w:rsidRDefault="00753D63" w:rsidP="00753D63">
            <w:r>
              <w:t>$100 to $500</w:t>
            </w:r>
          </w:p>
        </w:tc>
      </w:tr>
      <w:tr w:rsidR="00753D63" w:rsidTr="00753D63">
        <w:tc>
          <w:tcPr>
            <w:tcW w:w="1620" w:type="dxa"/>
          </w:tcPr>
          <w:p w:rsidR="00753D63" w:rsidRDefault="00753D63" w:rsidP="00753D63">
            <w:pPr>
              <w:jc w:val="right"/>
            </w:pPr>
            <w:r>
              <w:t>$$$</w:t>
            </w:r>
          </w:p>
        </w:tc>
        <w:tc>
          <w:tcPr>
            <w:tcW w:w="2250" w:type="dxa"/>
          </w:tcPr>
          <w:p w:rsidR="00753D63" w:rsidRDefault="00753D63" w:rsidP="00753D63">
            <w:r>
              <w:t>$500 to $750</w:t>
            </w:r>
          </w:p>
        </w:tc>
      </w:tr>
      <w:tr w:rsidR="00753D63" w:rsidTr="00753D63">
        <w:tc>
          <w:tcPr>
            <w:tcW w:w="1620" w:type="dxa"/>
          </w:tcPr>
          <w:p w:rsidR="00753D63" w:rsidRDefault="00753D63" w:rsidP="00753D63">
            <w:pPr>
              <w:jc w:val="right"/>
            </w:pPr>
            <w:r>
              <w:t>$$$$</w:t>
            </w:r>
          </w:p>
        </w:tc>
        <w:tc>
          <w:tcPr>
            <w:tcW w:w="2250" w:type="dxa"/>
          </w:tcPr>
          <w:p w:rsidR="00753D63" w:rsidRDefault="00753D63" w:rsidP="00753D63">
            <w:r>
              <w:t>$750 to $1,000</w:t>
            </w:r>
          </w:p>
        </w:tc>
      </w:tr>
      <w:tr w:rsidR="00753D63" w:rsidTr="00753D63">
        <w:tc>
          <w:tcPr>
            <w:tcW w:w="1620" w:type="dxa"/>
          </w:tcPr>
          <w:p w:rsidR="00753D63" w:rsidRDefault="00753D63" w:rsidP="00753D63">
            <w:pPr>
              <w:jc w:val="right"/>
            </w:pPr>
            <w:r>
              <w:t>$$$$$</w:t>
            </w:r>
          </w:p>
        </w:tc>
        <w:tc>
          <w:tcPr>
            <w:tcW w:w="2250" w:type="dxa"/>
          </w:tcPr>
          <w:p w:rsidR="00753D63" w:rsidRDefault="00753D63" w:rsidP="00753D63">
            <w:r>
              <w:t>Greater than $1,000</w:t>
            </w:r>
          </w:p>
        </w:tc>
      </w:tr>
    </w:tbl>
    <w:p w:rsidR="00753D63" w:rsidRDefault="00753D63" w:rsidP="00753D63">
      <w:pPr>
        <w:spacing w:after="0" w:line="240" w:lineRule="auto"/>
      </w:pPr>
    </w:p>
    <w:p w:rsidR="009F22DA" w:rsidRDefault="009F22DA" w:rsidP="00753D63">
      <w:pPr>
        <w:spacing w:after="0" w:line="240" w:lineRule="auto"/>
      </w:pPr>
    </w:p>
    <w:p w:rsidR="00E86E55" w:rsidRDefault="00D21380" w:rsidP="000E7162">
      <w:pPr>
        <w:spacing w:line="240" w:lineRule="auto"/>
      </w:pPr>
      <w:r>
        <w:t xml:space="preserve">     </w:t>
      </w:r>
      <w:r w:rsidR="004E3A58">
        <w:rPr>
          <w:noProof/>
        </w:rPr>
        <w:drawing>
          <wp:inline distT="0" distB="0" distL="0" distR="0" wp14:anchorId="4CBE1266" wp14:editId="32D4A507">
            <wp:extent cx="5943600" cy="1006475"/>
            <wp:effectExtent l="0" t="0" r="0" b="317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943600" cy="1006475"/>
                    </a:xfrm>
                    <a:prstGeom prst="rect">
                      <a:avLst/>
                    </a:prstGeom>
                  </pic:spPr>
                </pic:pic>
              </a:graphicData>
            </a:graphic>
          </wp:inline>
        </w:drawing>
      </w:r>
    </w:p>
    <w:p w:rsidR="00D21380" w:rsidRDefault="00D21380" w:rsidP="000E7162">
      <w:pPr>
        <w:spacing w:line="240" w:lineRule="auto"/>
      </w:pPr>
    </w:p>
    <w:p w:rsidR="004E3A58" w:rsidRDefault="00D21380" w:rsidP="000E7162">
      <w:pPr>
        <w:spacing w:line="240" w:lineRule="auto"/>
      </w:pPr>
      <w:r>
        <w:t xml:space="preserve">     </w:t>
      </w:r>
      <w:r w:rsidR="004E3A58">
        <w:rPr>
          <w:noProof/>
        </w:rPr>
        <w:drawing>
          <wp:inline distT="0" distB="0" distL="0" distR="0" wp14:anchorId="123AF7C0" wp14:editId="7B3F2C6E">
            <wp:extent cx="5943600" cy="776605"/>
            <wp:effectExtent l="0" t="0" r="0" b="444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943600" cy="776605"/>
                    </a:xfrm>
                    <a:prstGeom prst="rect">
                      <a:avLst/>
                    </a:prstGeom>
                  </pic:spPr>
                </pic:pic>
              </a:graphicData>
            </a:graphic>
          </wp:inline>
        </w:drawing>
      </w:r>
    </w:p>
    <w:p w:rsidR="00D21380" w:rsidRDefault="00D21380" w:rsidP="00D21380">
      <w:pPr>
        <w:spacing w:before="100" w:beforeAutospacing="1" w:after="100" w:afterAutospacing="1" w:line="240" w:lineRule="auto"/>
        <w:jc w:val="center"/>
        <w:outlineLvl w:val="0"/>
        <w:rPr>
          <w:rFonts w:eastAsia="Times New Roman" w:cs="Times New Roman"/>
          <w:b/>
          <w:bCs/>
          <w:iCs/>
          <w:kern w:val="36"/>
        </w:rPr>
      </w:pPr>
    </w:p>
    <w:p w:rsidR="00753D63" w:rsidRPr="00B255E1" w:rsidRDefault="00753D63" w:rsidP="000E7162">
      <w:pPr>
        <w:spacing w:line="240" w:lineRule="auto"/>
      </w:pPr>
    </w:p>
    <w:sectPr w:rsidR="00753D63" w:rsidRPr="00B255E1" w:rsidSect="00D21380">
      <w:footerReference w:type="default" r:id="rId10"/>
      <w:pgSz w:w="12240" w:h="15840"/>
      <w:pgMar w:top="1440" w:right="1080" w:bottom="1440" w:left="108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B247E" w:rsidRDefault="00DB247E" w:rsidP="00D21380">
      <w:pPr>
        <w:spacing w:after="0" w:line="240" w:lineRule="auto"/>
      </w:pPr>
      <w:r>
        <w:separator/>
      </w:r>
    </w:p>
  </w:endnote>
  <w:endnote w:type="continuationSeparator" w:id="0">
    <w:p w:rsidR="00DB247E" w:rsidRDefault="00DB247E" w:rsidP="00D2138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21380" w:rsidRPr="00D21380" w:rsidRDefault="00D21380" w:rsidP="00D21380">
    <w:pPr>
      <w:pStyle w:val="Footer"/>
      <w:jc w:val="center"/>
    </w:pPr>
    <w:r w:rsidRPr="00D21380">
      <w:t xml:space="preserve">Page </w:t>
    </w:r>
    <w:r w:rsidRPr="00D21380">
      <w:fldChar w:fldCharType="begin"/>
    </w:r>
    <w:r w:rsidRPr="00D21380">
      <w:instrText xml:space="preserve"> PAGE  \* Arabic  \* MERGEFORMAT </w:instrText>
    </w:r>
    <w:r w:rsidRPr="00D21380">
      <w:fldChar w:fldCharType="separate"/>
    </w:r>
    <w:r w:rsidR="008A36C3">
      <w:rPr>
        <w:noProof/>
      </w:rPr>
      <w:t>3</w:t>
    </w:r>
    <w:r w:rsidRPr="00D21380">
      <w:fldChar w:fldCharType="end"/>
    </w:r>
    <w:r w:rsidRPr="00D21380">
      <w:t xml:space="preserve"> of </w:t>
    </w:r>
    <w:r w:rsidR="00DB247E">
      <w:fldChar w:fldCharType="begin"/>
    </w:r>
    <w:r w:rsidR="00DB247E">
      <w:instrText xml:space="preserve"> NUMPAGES  \* Arabic  \* MERGEFORMAT </w:instrText>
    </w:r>
    <w:r w:rsidR="00DB247E">
      <w:fldChar w:fldCharType="separate"/>
    </w:r>
    <w:r w:rsidR="008A36C3">
      <w:rPr>
        <w:noProof/>
      </w:rPr>
      <w:t>3</w:t>
    </w:r>
    <w:r w:rsidR="00DB247E">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B247E" w:rsidRDefault="00DB247E" w:rsidP="00D21380">
      <w:pPr>
        <w:spacing w:after="0" w:line="240" w:lineRule="auto"/>
      </w:pPr>
      <w:r>
        <w:separator/>
      </w:r>
    </w:p>
  </w:footnote>
  <w:footnote w:type="continuationSeparator" w:id="0">
    <w:p w:rsidR="00DB247E" w:rsidRDefault="00DB247E" w:rsidP="00D2138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997636A"/>
    <w:multiLevelType w:val="hybridMultilevel"/>
    <w:tmpl w:val="60D073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703DE"/>
    <w:rsid w:val="000E7162"/>
    <w:rsid w:val="001047BF"/>
    <w:rsid w:val="001132B9"/>
    <w:rsid w:val="001C5E6E"/>
    <w:rsid w:val="002703DE"/>
    <w:rsid w:val="002B5853"/>
    <w:rsid w:val="002E2490"/>
    <w:rsid w:val="003C0B5A"/>
    <w:rsid w:val="00426959"/>
    <w:rsid w:val="004E3A58"/>
    <w:rsid w:val="00612F2F"/>
    <w:rsid w:val="00753D63"/>
    <w:rsid w:val="008A36C3"/>
    <w:rsid w:val="009F22DA"/>
    <w:rsid w:val="00A70C5B"/>
    <w:rsid w:val="00B02C33"/>
    <w:rsid w:val="00B255E1"/>
    <w:rsid w:val="00C6260C"/>
    <w:rsid w:val="00D21380"/>
    <w:rsid w:val="00D77969"/>
    <w:rsid w:val="00D868F4"/>
    <w:rsid w:val="00DB247E"/>
    <w:rsid w:val="00E86E55"/>
    <w:rsid w:val="00F85E4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2703DE"/>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703DE"/>
    <w:rPr>
      <w:rFonts w:ascii="Times New Roman" w:eastAsia="Times New Roman" w:hAnsi="Times New Roman" w:cs="Times New Roman"/>
      <w:b/>
      <w:bCs/>
      <w:kern w:val="36"/>
      <w:sz w:val="48"/>
      <w:szCs w:val="48"/>
    </w:rPr>
  </w:style>
  <w:style w:type="paragraph" w:styleId="ListParagraph">
    <w:name w:val="List Paragraph"/>
    <w:basedOn w:val="Normal"/>
    <w:uiPriority w:val="34"/>
    <w:qFormat/>
    <w:rsid w:val="00E86E55"/>
    <w:pPr>
      <w:spacing w:after="0" w:line="240" w:lineRule="auto"/>
      <w:ind w:left="720"/>
      <w:contextualSpacing/>
    </w:pPr>
    <w:rPr>
      <w:rFonts w:ascii="Times New Roman" w:eastAsia="Calibri" w:hAnsi="Times New Roman" w:cs="Times New Roman"/>
      <w:sz w:val="24"/>
      <w:szCs w:val="24"/>
    </w:rPr>
  </w:style>
  <w:style w:type="paragraph" w:styleId="HTMLPreformatted">
    <w:name w:val="HTML Preformatted"/>
    <w:basedOn w:val="Normal"/>
    <w:link w:val="HTMLPreformattedChar"/>
    <w:uiPriority w:val="99"/>
    <w:unhideWhenUsed/>
    <w:rsid w:val="00F85E4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rsid w:val="00F85E4B"/>
    <w:rPr>
      <w:rFonts w:ascii="Courier New" w:eastAsia="Times New Roman" w:hAnsi="Courier New" w:cs="Courier New"/>
      <w:sz w:val="20"/>
      <w:szCs w:val="20"/>
    </w:rPr>
  </w:style>
  <w:style w:type="paragraph" w:styleId="BalloonText">
    <w:name w:val="Balloon Text"/>
    <w:basedOn w:val="Normal"/>
    <w:link w:val="BalloonTextChar"/>
    <w:uiPriority w:val="99"/>
    <w:semiHidden/>
    <w:unhideWhenUsed/>
    <w:rsid w:val="004E3A5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E3A58"/>
    <w:rPr>
      <w:rFonts w:ascii="Tahoma" w:hAnsi="Tahoma" w:cs="Tahoma"/>
      <w:sz w:val="16"/>
      <w:szCs w:val="16"/>
    </w:rPr>
  </w:style>
  <w:style w:type="table" w:styleId="TableGrid">
    <w:name w:val="Table Grid"/>
    <w:basedOn w:val="TableNormal"/>
    <w:uiPriority w:val="59"/>
    <w:rsid w:val="00753D6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99"/>
    <w:qFormat/>
    <w:rsid w:val="00D21380"/>
    <w:pPr>
      <w:spacing w:after="0" w:line="240" w:lineRule="auto"/>
    </w:pPr>
    <w:rPr>
      <w:rFonts w:ascii="Times New Roman" w:eastAsia="MS Mincho" w:hAnsi="Times New Roman" w:cs="Times New Roman"/>
      <w:sz w:val="24"/>
      <w:szCs w:val="24"/>
      <w:lang w:eastAsia="ja-JP"/>
    </w:rPr>
  </w:style>
  <w:style w:type="paragraph" w:styleId="Header">
    <w:name w:val="header"/>
    <w:basedOn w:val="Normal"/>
    <w:link w:val="HeaderChar"/>
    <w:uiPriority w:val="99"/>
    <w:unhideWhenUsed/>
    <w:rsid w:val="00D21380"/>
    <w:pPr>
      <w:tabs>
        <w:tab w:val="center" w:pos="4680"/>
        <w:tab w:val="right" w:pos="9360"/>
      </w:tabs>
      <w:spacing w:after="0" w:line="240" w:lineRule="auto"/>
    </w:pPr>
  </w:style>
  <w:style w:type="character" w:customStyle="1" w:styleId="HeaderChar">
    <w:name w:val="Header Char"/>
    <w:basedOn w:val="DefaultParagraphFont"/>
    <w:link w:val="Header"/>
    <w:uiPriority w:val="99"/>
    <w:rsid w:val="00D21380"/>
  </w:style>
  <w:style w:type="paragraph" w:styleId="Footer">
    <w:name w:val="footer"/>
    <w:basedOn w:val="Normal"/>
    <w:link w:val="FooterChar"/>
    <w:uiPriority w:val="99"/>
    <w:unhideWhenUsed/>
    <w:rsid w:val="00D21380"/>
    <w:pPr>
      <w:tabs>
        <w:tab w:val="center" w:pos="4680"/>
        <w:tab w:val="right" w:pos="9360"/>
      </w:tabs>
      <w:spacing w:after="0" w:line="240" w:lineRule="auto"/>
    </w:pPr>
  </w:style>
  <w:style w:type="character" w:customStyle="1" w:styleId="FooterChar">
    <w:name w:val="Footer Char"/>
    <w:basedOn w:val="DefaultParagraphFont"/>
    <w:link w:val="Footer"/>
    <w:uiPriority w:val="99"/>
    <w:rsid w:val="00D21380"/>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2703DE"/>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703DE"/>
    <w:rPr>
      <w:rFonts w:ascii="Times New Roman" w:eastAsia="Times New Roman" w:hAnsi="Times New Roman" w:cs="Times New Roman"/>
      <w:b/>
      <w:bCs/>
      <w:kern w:val="36"/>
      <w:sz w:val="48"/>
      <w:szCs w:val="48"/>
    </w:rPr>
  </w:style>
  <w:style w:type="paragraph" w:styleId="ListParagraph">
    <w:name w:val="List Paragraph"/>
    <w:basedOn w:val="Normal"/>
    <w:uiPriority w:val="34"/>
    <w:qFormat/>
    <w:rsid w:val="00E86E55"/>
    <w:pPr>
      <w:spacing w:after="0" w:line="240" w:lineRule="auto"/>
      <w:ind w:left="720"/>
      <w:contextualSpacing/>
    </w:pPr>
    <w:rPr>
      <w:rFonts w:ascii="Times New Roman" w:eastAsia="Calibri" w:hAnsi="Times New Roman" w:cs="Times New Roman"/>
      <w:sz w:val="24"/>
      <w:szCs w:val="24"/>
    </w:rPr>
  </w:style>
  <w:style w:type="paragraph" w:styleId="HTMLPreformatted">
    <w:name w:val="HTML Preformatted"/>
    <w:basedOn w:val="Normal"/>
    <w:link w:val="HTMLPreformattedChar"/>
    <w:uiPriority w:val="99"/>
    <w:unhideWhenUsed/>
    <w:rsid w:val="00F85E4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rsid w:val="00F85E4B"/>
    <w:rPr>
      <w:rFonts w:ascii="Courier New" w:eastAsia="Times New Roman" w:hAnsi="Courier New" w:cs="Courier New"/>
      <w:sz w:val="20"/>
      <w:szCs w:val="20"/>
    </w:rPr>
  </w:style>
  <w:style w:type="paragraph" w:styleId="BalloonText">
    <w:name w:val="Balloon Text"/>
    <w:basedOn w:val="Normal"/>
    <w:link w:val="BalloonTextChar"/>
    <w:uiPriority w:val="99"/>
    <w:semiHidden/>
    <w:unhideWhenUsed/>
    <w:rsid w:val="004E3A5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E3A58"/>
    <w:rPr>
      <w:rFonts w:ascii="Tahoma" w:hAnsi="Tahoma" w:cs="Tahoma"/>
      <w:sz w:val="16"/>
      <w:szCs w:val="16"/>
    </w:rPr>
  </w:style>
  <w:style w:type="table" w:styleId="TableGrid">
    <w:name w:val="Table Grid"/>
    <w:basedOn w:val="TableNormal"/>
    <w:uiPriority w:val="59"/>
    <w:rsid w:val="00753D6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99"/>
    <w:qFormat/>
    <w:rsid w:val="00D21380"/>
    <w:pPr>
      <w:spacing w:after="0" w:line="240" w:lineRule="auto"/>
    </w:pPr>
    <w:rPr>
      <w:rFonts w:ascii="Times New Roman" w:eastAsia="MS Mincho" w:hAnsi="Times New Roman" w:cs="Times New Roman"/>
      <w:sz w:val="24"/>
      <w:szCs w:val="24"/>
      <w:lang w:eastAsia="ja-JP"/>
    </w:rPr>
  </w:style>
  <w:style w:type="paragraph" w:styleId="Header">
    <w:name w:val="header"/>
    <w:basedOn w:val="Normal"/>
    <w:link w:val="HeaderChar"/>
    <w:uiPriority w:val="99"/>
    <w:unhideWhenUsed/>
    <w:rsid w:val="00D21380"/>
    <w:pPr>
      <w:tabs>
        <w:tab w:val="center" w:pos="4680"/>
        <w:tab w:val="right" w:pos="9360"/>
      </w:tabs>
      <w:spacing w:after="0" w:line="240" w:lineRule="auto"/>
    </w:pPr>
  </w:style>
  <w:style w:type="character" w:customStyle="1" w:styleId="HeaderChar">
    <w:name w:val="Header Char"/>
    <w:basedOn w:val="DefaultParagraphFont"/>
    <w:link w:val="Header"/>
    <w:uiPriority w:val="99"/>
    <w:rsid w:val="00D21380"/>
  </w:style>
  <w:style w:type="paragraph" w:styleId="Footer">
    <w:name w:val="footer"/>
    <w:basedOn w:val="Normal"/>
    <w:link w:val="FooterChar"/>
    <w:uiPriority w:val="99"/>
    <w:unhideWhenUsed/>
    <w:rsid w:val="00D21380"/>
    <w:pPr>
      <w:tabs>
        <w:tab w:val="center" w:pos="4680"/>
        <w:tab w:val="right" w:pos="9360"/>
      </w:tabs>
      <w:spacing w:after="0" w:line="240" w:lineRule="auto"/>
    </w:pPr>
  </w:style>
  <w:style w:type="character" w:customStyle="1" w:styleId="FooterChar">
    <w:name w:val="Footer Char"/>
    <w:basedOn w:val="DefaultParagraphFont"/>
    <w:link w:val="Footer"/>
    <w:uiPriority w:val="99"/>
    <w:rsid w:val="00D2138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9472570">
      <w:bodyDiv w:val="1"/>
      <w:marLeft w:val="0"/>
      <w:marRight w:val="0"/>
      <w:marTop w:val="0"/>
      <w:marBottom w:val="0"/>
      <w:divBdr>
        <w:top w:val="none" w:sz="0" w:space="0" w:color="auto"/>
        <w:left w:val="none" w:sz="0" w:space="0" w:color="auto"/>
        <w:bottom w:val="none" w:sz="0" w:space="0" w:color="auto"/>
        <w:right w:val="none" w:sz="0" w:space="0" w:color="auto"/>
      </w:divBdr>
    </w:div>
    <w:div w:id="308871984">
      <w:bodyDiv w:val="1"/>
      <w:marLeft w:val="0"/>
      <w:marRight w:val="0"/>
      <w:marTop w:val="0"/>
      <w:marBottom w:val="0"/>
      <w:divBdr>
        <w:top w:val="none" w:sz="0" w:space="0" w:color="auto"/>
        <w:left w:val="none" w:sz="0" w:space="0" w:color="auto"/>
        <w:bottom w:val="none" w:sz="0" w:space="0" w:color="auto"/>
        <w:right w:val="none" w:sz="0" w:space="0" w:color="auto"/>
      </w:divBdr>
    </w:div>
    <w:div w:id="414472112">
      <w:bodyDiv w:val="1"/>
      <w:marLeft w:val="0"/>
      <w:marRight w:val="0"/>
      <w:marTop w:val="0"/>
      <w:marBottom w:val="0"/>
      <w:divBdr>
        <w:top w:val="none" w:sz="0" w:space="0" w:color="auto"/>
        <w:left w:val="none" w:sz="0" w:space="0" w:color="auto"/>
        <w:bottom w:val="none" w:sz="0" w:space="0" w:color="auto"/>
        <w:right w:val="none" w:sz="0" w:space="0" w:color="auto"/>
      </w:divBdr>
    </w:div>
    <w:div w:id="8058547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749</Words>
  <Characters>4274</Characters>
  <Application>Microsoft Office Word</Application>
  <DocSecurity>0</DocSecurity>
  <Lines>35</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5013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dmh2t</dc:creator>
  <cp:lastModifiedBy>dmh2t</cp:lastModifiedBy>
  <cp:revision>4</cp:revision>
  <cp:lastPrinted>2016-06-06T12:26:00Z</cp:lastPrinted>
  <dcterms:created xsi:type="dcterms:W3CDTF">2016-06-06T12:26:00Z</dcterms:created>
  <dcterms:modified xsi:type="dcterms:W3CDTF">2016-06-06T12:26:00Z</dcterms:modified>
</cp:coreProperties>
</file>