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035" w:rsidRPr="00362495" w:rsidRDefault="001C4035" w:rsidP="001C4035">
      <w:pPr>
        <w:pStyle w:val="NoSpacing"/>
        <w:jc w:val="center"/>
        <w:outlineLvl w:val="0"/>
        <w:rPr>
          <w:rFonts w:ascii="Calibri" w:hAnsi="Calibri"/>
          <w:sz w:val="28"/>
          <w:szCs w:val="28"/>
        </w:rPr>
      </w:pPr>
      <w:bookmarkStart w:id="0" w:name="_GoBack"/>
      <w:bookmarkEnd w:id="0"/>
      <w:r w:rsidRPr="00362495">
        <w:rPr>
          <w:rFonts w:ascii="Calibri" w:hAnsi="Calibri"/>
          <w:sz w:val="28"/>
          <w:szCs w:val="28"/>
        </w:rPr>
        <w:t>University of Virginia Health System</w:t>
      </w:r>
    </w:p>
    <w:p w:rsidR="001C4035" w:rsidRPr="00362495" w:rsidRDefault="001C4035" w:rsidP="001C4035">
      <w:pPr>
        <w:pStyle w:val="NoSpacing"/>
        <w:jc w:val="center"/>
        <w:outlineLvl w:val="0"/>
        <w:rPr>
          <w:rFonts w:ascii="Calibri" w:hAnsi="Calibri"/>
          <w:b/>
          <w:snapToGrid w:val="0"/>
          <w:sz w:val="28"/>
          <w:szCs w:val="28"/>
        </w:rPr>
      </w:pPr>
      <w:r w:rsidRPr="00362495">
        <w:rPr>
          <w:rFonts w:ascii="Calibri" w:hAnsi="Calibri"/>
          <w:b/>
          <w:snapToGrid w:val="0"/>
          <w:sz w:val="28"/>
          <w:szCs w:val="28"/>
        </w:rPr>
        <w:t>Medical Laboratories</w:t>
      </w:r>
    </w:p>
    <w:p w:rsidR="001C4035" w:rsidRPr="00362495" w:rsidRDefault="001C4035" w:rsidP="001C4035">
      <w:pPr>
        <w:pStyle w:val="NoSpacing"/>
        <w:jc w:val="center"/>
        <w:outlineLvl w:val="0"/>
        <w:rPr>
          <w:rFonts w:ascii="Calibri" w:hAnsi="Calibri"/>
          <w:b/>
          <w:i/>
          <w:snapToGrid w:val="0"/>
          <w:sz w:val="28"/>
          <w:szCs w:val="28"/>
        </w:rPr>
      </w:pPr>
      <w:r w:rsidRPr="00362495">
        <w:rPr>
          <w:rFonts w:ascii="Calibri" w:hAnsi="Calibri"/>
          <w:b/>
          <w:i/>
          <w:snapToGrid w:val="0"/>
          <w:sz w:val="28"/>
          <w:szCs w:val="28"/>
        </w:rPr>
        <w:t>“Quality You Expect, Service You Deserve”</w:t>
      </w:r>
    </w:p>
    <w:p w:rsidR="001C4035" w:rsidRPr="006B6F55" w:rsidRDefault="001C4035" w:rsidP="001C4035">
      <w:pPr>
        <w:pStyle w:val="NoSpacing"/>
        <w:jc w:val="center"/>
        <w:rPr>
          <w:rFonts w:ascii="Calibri" w:hAnsi="Calibri"/>
          <w:b/>
          <w:i/>
          <w:snapToGrid w:val="0"/>
          <w:sz w:val="26"/>
          <w:szCs w:val="26"/>
        </w:rPr>
      </w:pPr>
    </w:p>
    <w:p w:rsidR="001C4035" w:rsidRPr="006B6F55" w:rsidRDefault="001C4035" w:rsidP="001C4035">
      <w:pPr>
        <w:keepNext/>
        <w:widowControl w:val="0"/>
        <w:jc w:val="center"/>
        <w:outlineLvl w:val="0"/>
        <w:rPr>
          <w:rFonts w:ascii="Calibri" w:hAnsi="Calibri"/>
          <w:b/>
          <w:i/>
          <w:snapToGrid w:val="0"/>
          <w:sz w:val="26"/>
          <w:szCs w:val="26"/>
          <w:u w:val="single"/>
        </w:rPr>
      </w:pPr>
      <w:r w:rsidRPr="006B6F55">
        <w:rPr>
          <w:rFonts w:ascii="Calibri" w:hAnsi="Calibri"/>
          <w:b/>
          <w:i/>
          <w:snapToGrid w:val="0"/>
          <w:sz w:val="26"/>
          <w:szCs w:val="26"/>
          <w:u w:val="single"/>
        </w:rPr>
        <w:t>LABORATORY MEDICINE UPDATE</w:t>
      </w:r>
    </w:p>
    <w:p w:rsidR="001C4035" w:rsidRDefault="001C4035" w:rsidP="001C4035">
      <w:pPr>
        <w:spacing w:before="100" w:beforeAutospacing="1" w:after="100" w:afterAutospacing="1"/>
        <w:jc w:val="center"/>
        <w:rPr>
          <w:snapToGrid w:val="0"/>
          <w:sz w:val="26"/>
          <w:szCs w:val="26"/>
          <w:u w:val="single"/>
        </w:rPr>
      </w:pPr>
      <w:r>
        <w:rPr>
          <w:snapToGrid w:val="0"/>
          <w:sz w:val="26"/>
          <w:szCs w:val="26"/>
          <w:u w:val="single"/>
        </w:rPr>
        <w:t>August 31</w:t>
      </w:r>
      <w:r w:rsidRPr="00362495">
        <w:rPr>
          <w:snapToGrid w:val="0"/>
          <w:sz w:val="26"/>
          <w:szCs w:val="26"/>
          <w:u w:val="single"/>
        </w:rPr>
        <w:t>, 2016</w:t>
      </w:r>
    </w:p>
    <w:p w:rsidR="001B501D" w:rsidRPr="0046131F" w:rsidRDefault="001B501D" w:rsidP="0046131F">
      <w:pPr>
        <w:spacing w:after="0" w:line="240" w:lineRule="auto"/>
        <w:jc w:val="center"/>
        <w:rPr>
          <w:b/>
          <w:sz w:val="24"/>
          <w:szCs w:val="24"/>
        </w:rPr>
      </w:pPr>
      <w:r w:rsidRPr="0046131F">
        <w:rPr>
          <w:b/>
          <w:sz w:val="24"/>
          <w:szCs w:val="24"/>
        </w:rPr>
        <w:t xml:space="preserve">NEW:  Targeted Community-Acquired Gastrointestinal Pathogens PCR Panel </w:t>
      </w:r>
    </w:p>
    <w:p w:rsidR="001B501D" w:rsidRPr="0046131F" w:rsidRDefault="001B501D" w:rsidP="0046131F">
      <w:pPr>
        <w:spacing w:after="0" w:line="240" w:lineRule="auto"/>
        <w:rPr>
          <w:sz w:val="24"/>
          <w:szCs w:val="24"/>
        </w:rPr>
      </w:pPr>
    </w:p>
    <w:p w:rsidR="001B501D" w:rsidRPr="0046131F" w:rsidRDefault="001B501D" w:rsidP="0046131F">
      <w:pPr>
        <w:spacing w:after="0" w:line="240" w:lineRule="auto"/>
        <w:rPr>
          <w:sz w:val="24"/>
          <w:szCs w:val="24"/>
        </w:rPr>
      </w:pPr>
      <w:r w:rsidRPr="0046131F">
        <w:rPr>
          <w:sz w:val="24"/>
          <w:szCs w:val="24"/>
        </w:rPr>
        <w:t>A new option is now available for stool testing in the UVA Clinical Microbiology Laboratory.   The</w:t>
      </w:r>
      <w:r w:rsidRPr="0046131F">
        <w:rPr>
          <w:b/>
          <w:sz w:val="24"/>
          <w:szCs w:val="24"/>
        </w:rPr>
        <w:t xml:space="preserve"> new Targeted Community-Acquired Gastrointestinal Pathogens PCR Panel has 11 targets, and focuses primarily on pathogens transmitted in the US</w:t>
      </w:r>
      <w:r w:rsidRPr="0046131F">
        <w:rPr>
          <w:sz w:val="24"/>
          <w:szCs w:val="24"/>
        </w:rPr>
        <w:t>.  The Community-Acquired GI Pathogens PCR Panel with 21 targets remains available.  This assay is designed to detect pathogens associated with US transmission as well as travel-related GI disease outside the US.</w:t>
      </w:r>
    </w:p>
    <w:p w:rsidR="001B501D" w:rsidRPr="0046131F" w:rsidRDefault="001B501D" w:rsidP="0046131F">
      <w:pPr>
        <w:spacing w:after="0" w:line="240" w:lineRule="auto"/>
        <w:rPr>
          <w:sz w:val="24"/>
          <w:szCs w:val="24"/>
        </w:rPr>
      </w:pPr>
    </w:p>
    <w:p w:rsidR="001B501D" w:rsidRPr="0046131F" w:rsidRDefault="001B501D" w:rsidP="0046131F">
      <w:pPr>
        <w:spacing w:after="60" w:line="240" w:lineRule="auto"/>
        <w:rPr>
          <w:sz w:val="24"/>
          <w:szCs w:val="24"/>
        </w:rPr>
      </w:pPr>
      <w:r w:rsidRPr="0046131F">
        <w:rPr>
          <w:b/>
          <w:sz w:val="24"/>
          <w:szCs w:val="24"/>
        </w:rPr>
        <w:t>Organisms detected by the TARGETED Community GI Pathogens PCR Panel include:</w:t>
      </w:r>
    </w:p>
    <w:p w:rsidR="001B501D" w:rsidRPr="0046131F" w:rsidRDefault="001B501D" w:rsidP="0046131F">
      <w:pPr>
        <w:spacing w:after="60" w:line="240" w:lineRule="auto"/>
        <w:rPr>
          <w:sz w:val="24"/>
          <w:szCs w:val="24"/>
        </w:rPr>
      </w:pPr>
      <w:r w:rsidRPr="0046131F">
        <w:rPr>
          <w:sz w:val="24"/>
          <w:szCs w:val="24"/>
          <w:u w:val="single"/>
        </w:rPr>
        <w:t>BACTERIAL TARGETS</w:t>
      </w:r>
      <w:r w:rsidRPr="0046131F">
        <w:rPr>
          <w:sz w:val="24"/>
          <w:szCs w:val="24"/>
        </w:rPr>
        <w:t xml:space="preserve">:  </w:t>
      </w:r>
      <w:r w:rsidRPr="0046131F">
        <w:rPr>
          <w:i/>
          <w:sz w:val="24"/>
          <w:szCs w:val="24"/>
        </w:rPr>
        <w:t>Campylobacter</w:t>
      </w:r>
      <w:r w:rsidRPr="0046131F">
        <w:rPr>
          <w:sz w:val="24"/>
          <w:szCs w:val="24"/>
        </w:rPr>
        <w:t xml:space="preserve"> sp (</w:t>
      </w:r>
      <w:r w:rsidRPr="0046131F">
        <w:rPr>
          <w:i/>
          <w:sz w:val="24"/>
          <w:szCs w:val="24"/>
        </w:rPr>
        <w:t>C. jejuni, C. coli, C. upsaliensis</w:t>
      </w:r>
      <w:r w:rsidRPr="0046131F">
        <w:rPr>
          <w:sz w:val="24"/>
          <w:szCs w:val="24"/>
        </w:rPr>
        <w:t xml:space="preserve">), </w:t>
      </w:r>
      <w:r w:rsidRPr="0046131F">
        <w:rPr>
          <w:i/>
          <w:sz w:val="24"/>
          <w:szCs w:val="24"/>
        </w:rPr>
        <w:t>Salmonella</w:t>
      </w:r>
      <w:r w:rsidRPr="0046131F">
        <w:rPr>
          <w:sz w:val="24"/>
          <w:szCs w:val="24"/>
        </w:rPr>
        <w:t xml:space="preserve"> sp, Shiga-like toxin producing organisms, </w:t>
      </w:r>
      <w:r w:rsidRPr="0046131F">
        <w:rPr>
          <w:i/>
          <w:sz w:val="24"/>
          <w:szCs w:val="24"/>
        </w:rPr>
        <w:t>E.coli</w:t>
      </w:r>
      <w:r w:rsidRPr="0046131F">
        <w:rPr>
          <w:sz w:val="24"/>
          <w:szCs w:val="24"/>
        </w:rPr>
        <w:t xml:space="preserve"> 0157, </w:t>
      </w:r>
      <w:r w:rsidRPr="0046131F">
        <w:rPr>
          <w:i/>
          <w:sz w:val="24"/>
          <w:szCs w:val="24"/>
        </w:rPr>
        <w:t>Shigella</w:t>
      </w:r>
      <w:r w:rsidRPr="0046131F">
        <w:rPr>
          <w:sz w:val="24"/>
          <w:szCs w:val="24"/>
        </w:rPr>
        <w:t xml:space="preserve">/Enteroinvasive </w:t>
      </w:r>
      <w:r w:rsidRPr="0046131F">
        <w:rPr>
          <w:i/>
          <w:sz w:val="24"/>
          <w:szCs w:val="24"/>
        </w:rPr>
        <w:t>E.coli</w:t>
      </w:r>
      <w:r w:rsidRPr="0046131F">
        <w:rPr>
          <w:sz w:val="24"/>
          <w:szCs w:val="24"/>
        </w:rPr>
        <w:t xml:space="preserve"> (EIEC), Enteroaggregative </w:t>
      </w:r>
      <w:r w:rsidRPr="0046131F">
        <w:rPr>
          <w:i/>
          <w:sz w:val="24"/>
          <w:szCs w:val="24"/>
        </w:rPr>
        <w:t>E.coli</w:t>
      </w:r>
      <w:r w:rsidRPr="0046131F">
        <w:rPr>
          <w:sz w:val="24"/>
          <w:szCs w:val="24"/>
        </w:rPr>
        <w:t xml:space="preserve"> (EAEC), </w:t>
      </w:r>
      <w:r w:rsidRPr="0046131F">
        <w:rPr>
          <w:i/>
          <w:sz w:val="24"/>
          <w:szCs w:val="24"/>
        </w:rPr>
        <w:t>Vibrio</w:t>
      </w:r>
      <w:r w:rsidRPr="0046131F">
        <w:rPr>
          <w:sz w:val="24"/>
          <w:szCs w:val="24"/>
        </w:rPr>
        <w:t xml:space="preserve"> (</w:t>
      </w:r>
      <w:r w:rsidRPr="0046131F">
        <w:rPr>
          <w:i/>
          <w:sz w:val="24"/>
          <w:szCs w:val="24"/>
        </w:rPr>
        <w:t>V. parahemolyticus, V. vulnificus, V.  cholera</w:t>
      </w:r>
      <w:r w:rsidRPr="0046131F">
        <w:rPr>
          <w:sz w:val="24"/>
          <w:szCs w:val="24"/>
        </w:rPr>
        <w:t xml:space="preserve">),  and </w:t>
      </w:r>
      <w:r w:rsidRPr="0046131F">
        <w:rPr>
          <w:i/>
          <w:sz w:val="24"/>
          <w:szCs w:val="24"/>
        </w:rPr>
        <w:t>Yersinia enterocolitica</w:t>
      </w:r>
      <w:r w:rsidRPr="0046131F">
        <w:rPr>
          <w:sz w:val="24"/>
          <w:szCs w:val="24"/>
        </w:rPr>
        <w:t xml:space="preserve">.  </w:t>
      </w:r>
    </w:p>
    <w:p w:rsidR="001B501D" w:rsidRPr="0046131F" w:rsidRDefault="001B501D" w:rsidP="0046131F">
      <w:pPr>
        <w:spacing w:after="60" w:line="240" w:lineRule="auto"/>
        <w:rPr>
          <w:i/>
          <w:sz w:val="24"/>
          <w:szCs w:val="24"/>
        </w:rPr>
      </w:pPr>
      <w:r w:rsidRPr="0046131F">
        <w:rPr>
          <w:sz w:val="24"/>
          <w:szCs w:val="24"/>
          <w:u w:val="single"/>
        </w:rPr>
        <w:t>PARASITIC TARGETS</w:t>
      </w:r>
      <w:r w:rsidRPr="0046131F">
        <w:rPr>
          <w:sz w:val="24"/>
          <w:szCs w:val="24"/>
        </w:rPr>
        <w:t xml:space="preserve">: </w:t>
      </w:r>
      <w:r w:rsidRPr="0046131F">
        <w:rPr>
          <w:i/>
          <w:sz w:val="24"/>
          <w:szCs w:val="24"/>
        </w:rPr>
        <w:t>Cryptosporidium</w:t>
      </w:r>
      <w:r w:rsidRPr="0046131F">
        <w:rPr>
          <w:sz w:val="24"/>
          <w:szCs w:val="24"/>
        </w:rPr>
        <w:t xml:space="preserve"> sp, </w:t>
      </w:r>
      <w:r w:rsidRPr="0046131F">
        <w:rPr>
          <w:i/>
          <w:sz w:val="24"/>
          <w:szCs w:val="24"/>
        </w:rPr>
        <w:t>Giardia</w:t>
      </w:r>
      <w:r w:rsidRPr="0046131F">
        <w:rPr>
          <w:sz w:val="24"/>
          <w:szCs w:val="24"/>
        </w:rPr>
        <w:t xml:space="preserve"> sp (G</w:t>
      </w:r>
      <w:r w:rsidRPr="0046131F">
        <w:rPr>
          <w:i/>
          <w:sz w:val="24"/>
          <w:szCs w:val="24"/>
        </w:rPr>
        <w:t>. intestinalis, G. lamblia, G. duodenalis</w:t>
      </w:r>
      <w:r w:rsidRPr="0046131F">
        <w:rPr>
          <w:sz w:val="24"/>
          <w:szCs w:val="24"/>
        </w:rPr>
        <w:t xml:space="preserve">), and </w:t>
      </w:r>
      <w:r w:rsidRPr="0046131F">
        <w:rPr>
          <w:i/>
          <w:sz w:val="24"/>
          <w:szCs w:val="24"/>
        </w:rPr>
        <w:t>Cyclospora cayetanensis</w:t>
      </w:r>
    </w:p>
    <w:p w:rsidR="001B501D" w:rsidRPr="0046131F" w:rsidRDefault="001B501D" w:rsidP="0046131F">
      <w:pPr>
        <w:spacing w:after="60" w:line="240" w:lineRule="auto"/>
        <w:rPr>
          <w:sz w:val="24"/>
          <w:szCs w:val="24"/>
        </w:rPr>
      </w:pPr>
      <w:r w:rsidRPr="0046131F">
        <w:rPr>
          <w:sz w:val="24"/>
          <w:szCs w:val="24"/>
          <w:u w:val="single"/>
        </w:rPr>
        <w:t>VIRAL TARGETS</w:t>
      </w:r>
      <w:r w:rsidRPr="0046131F">
        <w:rPr>
          <w:sz w:val="24"/>
          <w:szCs w:val="24"/>
        </w:rPr>
        <w:t xml:space="preserve">:  States “Viral gastroenteritis target(s) detected”.  </w:t>
      </w:r>
      <w:r w:rsidRPr="0046131F">
        <w:rPr>
          <w:b/>
          <w:i/>
          <w:sz w:val="24"/>
          <w:szCs w:val="24"/>
        </w:rPr>
        <w:t>Does not differentiate</w:t>
      </w:r>
      <w:r w:rsidRPr="0046131F">
        <w:rPr>
          <w:i/>
          <w:sz w:val="24"/>
          <w:szCs w:val="24"/>
        </w:rPr>
        <w:t xml:space="preserve"> between the viral targets</w:t>
      </w:r>
      <w:r w:rsidRPr="0046131F">
        <w:rPr>
          <w:sz w:val="24"/>
          <w:szCs w:val="24"/>
        </w:rPr>
        <w:t>, but includes Rotavirus A, Adenovirus 40/41, Astrovirus, Norovirus GI/GII, and Sapovirus. Please request add-on for Extended GI Pathogens PCR if definitive identification is required.</w:t>
      </w:r>
    </w:p>
    <w:p w:rsidR="001B501D" w:rsidRPr="0046131F" w:rsidRDefault="001B501D" w:rsidP="0046131F">
      <w:pPr>
        <w:spacing w:after="0" w:line="240" w:lineRule="auto"/>
        <w:rPr>
          <w:sz w:val="24"/>
          <w:szCs w:val="24"/>
        </w:rPr>
      </w:pPr>
    </w:p>
    <w:p w:rsidR="001B501D" w:rsidRPr="0046131F" w:rsidRDefault="001B501D" w:rsidP="0046131F">
      <w:pPr>
        <w:spacing w:after="0" w:line="240" w:lineRule="auto"/>
        <w:rPr>
          <w:sz w:val="24"/>
          <w:szCs w:val="24"/>
        </w:rPr>
      </w:pPr>
      <w:r w:rsidRPr="0046131F">
        <w:rPr>
          <w:rFonts w:ascii="Calibri" w:eastAsia="Times New Roman" w:hAnsi="Calibri"/>
          <w:color w:val="000000"/>
          <w:sz w:val="24"/>
          <w:szCs w:val="24"/>
        </w:rPr>
        <w:t xml:space="preserve">Both assays focus on community-acquired pathogens, and therefore should be ordered only on outpatients or on currently hospitalized patients </w:t>
      </w:r>
      <w:r w:rsidRPr="0046131F">
        <w:rPr>
          <w:rFonts w:ascii="Calibri" w:eastAsia="Times New Roman" w:hAnsi="Calibri"/>
          <w:i/>
          <w:color w:val="000000"/>
          <w:sz w:val="24"/>
          <w:szCs w:val="24"/>
        </w:rPr>
        <w:t>within 48 hours of admission</w:t>
      </w:r>
      <w:r w:rsidRPr="0046131F">
        <w:rPr>
          <w:rFonts w:ascii="Calibri" w:eastAsia="Times New Roman" w:hAnsi="Calibri"/>
          <w:color w:val="000000"/>
          <w:sz w:val="24"/>
          <w:szCs w:val="24"/>
        </w:rPr>
        <w:t xml:space="preserve">.  </w:t>
      </w:r>
      <w:r w:rsidRPr="0046131F">
        <w:rPr>
          <w:b/>
          <w:sz w:val="24"/>
          <w:szCs w:val="24"/>
        </w:rPr>
        <w:t xml:space="preserve">This testing will replace Stool Cultures and Antigen Testing for Shiga-Like Toxin, </w:t>
      </w:r>
      <w:r w:rsidRPr="0046131F">
        <w:rPr>
          <w:b/>
          <w:i/>
          <w:sz w:val="24"/>
          <w:szCs w:val="24"/>
        </w:rPr>
        <w:t>Campylobacter</w:t>
      </w:r>
      <w:r w:rsidRPr="0046131F">
        <w:rPr>
          <w:b/>
          <w:sz w:val="24"/>
          <w:szCs w:val="24"/>
        </w:rPr>
        <w:t xml:space="preserve">, Rotavirus, </w:t>
      </w:r>
      <w:r w:rsidRPr="0046131F">
        <w:rPr>
          <w:b/>
          <w:i/>
          <w:sz w:val="24"/>
          <w:szCs w:val="24"/>
        </w:rPr>
        <w:t>Cryptosporidium</w:t>
      </w:r>
      <w:r w:rsidRPr="0046131F">
        <w:rPr>
          <w:b/>
          <w:sz w:val="24"/>
          <w:szCs w:val="24"/>
        </w:rPr>
        <w:t xml:space="preserve">, and </w:t>
      </w:r>
      <w:r w:rsidRPr="0046131F">
        <w:rPr>
          <w:b/>
          <w:i/>
          <w:sz w:val="24"/>
          <w:szCs w:val="24"/>
        </w:rPr>
        <w:t>Giardia</w:t>
      </w:r>
      <w:r w:rsidRPr="0046131F">
        <w:rPr>
          <w:b/>
          <w:sz w:val="24"/>
          <w:szCs w:val="24"/>
        </w:rPr>
        <w:t>, as well as Norovirus testing</w:t>
      </w:r>
      <w:r w:rsidRPr="0046131F">
        <w:rPr>
          <w:sz w:val="24"/>
          <w:szCs w:val="24"/>
        </w:rPr>
        <w:t xml:space="preserve"> (usually performed at the state lab), </w:t>
      </w:r>
      <w:r w:rsidRPr="0046131F">
        <w:rPr>
          <w:b/>
          <w:sz w:val="24"/>
          <w:szCs w:val="24"/>
        </w:rPr>
        <w:t xml:space="preserve">and </w:t>
      </w:r>
      <w:r w:rsidRPr="0046131F">
        <w:rPr>
          <w:b/>
          <w:i/>
          <w:sz w:val="24"/>
          <w:szCs w:val="24"/>
        </w:rPr>
        <w:t>Cyclospora</w:t>
      </w:r>
      <w:r w:rsidRPr="0046131F">
        <w:rPr>
          <w:sz w:val="24"/>
          <w:szCs w:val="24"/>
        </w:rPr>
        <w:t xml:space="preserve"> </w:t>
      </w:r>
      <w:r w:rsidRPr="0046131F">
        <w:rPr>
          <w:b/>
          <w:i/>
          <w:sz w:val="24"/>
          <w:szCs w:val="24"/>
        </w:rPr>
        <w:t xml:space="preserve">.  </w:t>
      </w:r>
      <w:r w:rsidRPr="0046131F">
        <w:rPr>
          <w:sz w:val="24"/>
          <w:szCs w:val="24"/>
        </w:rPr>
        <w:t xml:space="preserve">Orders for stool culture or antigen detection for agents of gastroenteritis will </w:t>
      </w:r>
      <w:r w:rsidRPr="0046131F">
        <w:rPr>
          <w:b/>
          <w:sz w:val="24"/>
          <w:szCs w:val="24"/>
        </w:rPr>
        <w:t>automatically be replaced</w:t>
      </w:r>
      <w:r w:rsidRPr="0046131F">
        <w:rPr>
          <w:sz w:val="24"/>
          <w:szCs w:val="24"/>
        </w:rPr>
        <w:t xml:space="preserve"> with the Targeted Community-Acquired Gastrointestinal Pathogens PCR Panel.  If testing for a single agent is warranted, please contact the Clinical Microbiology Director on call (PIC 1221) to arrange testing.</w:t>
      </w:r>
    </w:p>
    <w:p w:rsidR="001B501D" w:rsidRPr="0046131F" w:rsidRDefault="001B501D" w:rsidP="001B501D">
      <w:pPr>
        <w:spacing w:after="0" w:line="240" w:lineRule="auto"/>
        <w:rPr>
          <w:sz w:val="24"/>
          <w:szCs w:val="24"/>
        </w:rPr>
      </w:pPr>
    </w:p>
    <w:p w:rsidR="001B501D" w:rsidRPr="0046131F" w:rsidRDefault="001B501D" w:rsidP="001B501D">
      <w:pPr>
        <w:spacing w:after="0" w:line="240" w:lineRule="auto"/>
        <w:rPr>
          <w:b/>
          <w:sz w:val="24"/>
          <w:szCs w:val="24"/>
        </w:rPr>
      </w:pPr>
      <w:r w:rsidRPr="0046131F">
        <w:rPr>
          <w:b/>
          <w:sz w:val="24"/>
          <w:szCs w:val="24"/>
        </w:rPr>
        <w:t xml:space="preserve">Stool specimens for the Targeted GI Pathogens PCR panel should be submitted in Para-Pak </w:t>
      </w:r>
    </w:p>
    <w:p w:rsidR="001B501D" w:rsidRPr="0046131F" w:rsidRDefault="001B501D" w:rsidP="001B501D">
      <w:pPr>
        <w:spacing w:after="0" w:line="240" w:lineRule="auto"/>
        <w:rPr>
          <w:sz w:val="24"/>
          <w:szCs w:val="24"/>
        </w:rPr>
      </w:pPr>
      <w:r w:rsidRPr="0046131F">
        <w:rPr>
          <w:b/>
          <w:sz w:val="24"/>
          <w:szCs w:val="24"/>
        </w:rPr>
        <w:t xml:space="preserve">C&amp;S (Orange screw cap vial), </w:t>
      </w:r>
      <w:r w:rsidRPr="0046131F">
        <w:rPr>
          <w:sz w:val="24"/>
          <w:szCs w:val="24"/>
        </w:rPr>
        <w:t xml:space="preserve">containing Cary-Blair transport medium.  </w:t>
      </w:r>
    </w:p>
    <w:p w:rsidR="001B501D" w:rsidRPr="0046131F" w:rsidRDefault="001B501D" w:rsidP="001B501D">
      <w:pPr>
        <w:spacing w:after="0" w:line="240" w:lineRule="auto"/>
        <w:rPr>
          <w:sz w:val="24"/>
          <w:szCs w:val="24"/>
        </w:rPr>
      </w:pPr>
    </w:p>
    <w:p w:rsidR="001B501D" w:rsidRPr="0046131F" w:rsidRDefault="001B501D" w:rsidP="001B501D">
      <w:pPr>
        <w:spacing w:after="0" w:line="240" w:lineRule="auto"/>
        <w:rPr>
          <w:sz w:val="24"/>
          <w:szCs w:val="24"/>
        </w:rPr>
      </w:pPr>
      <w:r w:rsidRPr="0046131F">
        <w:rPr>
          <w:sz w:val="24"/>
          <w:szCs w:val="24"/>
        </w:rPr>
        <w:t xml:space="preserve">Results will be available within 24 hours of receipt in the laboratory.  While this panel is fairly comprehensive, a negative result in the setting of clinical illness compatible with infectious gastroenteritis may be due to pathogens not detected by this test.  If pathogens other than those detected by this method are suspected, please contact the Clinical Microbiology Director on call (PIC 1221) to arrange for testing or to ask any additional questions. </w:t>
      </w:r>
    </w:p>
    <w:p w:rsidR="001B501D" w:rsidRPr="0046131F" w:rsidRDefault="001B501D" w:rsidP="00B31EF6">
      <w:pPr>
        <w:jc w:val="center"/>
        <w:rPr>
          <w:b/>
          <w:sz w:val="24"/>
          <w:szCs w:val="24"/>
        </w:rPr>
      </w:pPr>
    </w:p>
    <w:p w:rsidR="008377B1" w:rsidRPr="0046131F" w:rsidRDefault="008377B1" w:rsidP="008377B1">
      <w:pPr>
        <w:spacing w:line="240" w:lineRule="auto"/>
        <w:jc w:val="center"/>
        <w:rPr>
          <w:rFonts w:cs="Tahoma"/>
          <w:b/>
          <w:sz w:val="24"/>
          <w:szCs w:val="24"/>
        </w:rPr>
      </w:pPr>
      <w:r w:rsidRPr="0046131F">
        <w:rPr>
          <w:rFonts w:cs="Tahoma"/>
          <w:b/>
          <w:sz w:val="24"/>
          <w:szCs w:val="24"/>
        </w:rPr>
        <w:t>Corrected Heparin Level</w:t>
      </w:r>
    </w:p>
    <w:p w:rsidR="008377B1" w:rsidRPr="0046131F" w:rsidRDefault="008377B1" w:rsidP="008377B1">
      <w:pPr>
        <w:spacing w:line="240" w:lineRule="auto"/>
        <w:rPr>
          <w:rFonts w:cs="Tahoma"/>
          <w:sz w:val="24"/>
          <w:szCs w:val="24"/>
        </w:rPr>
      </w:pPr>
      <w:r w:rsidRPr="0046131F">
        <w:rPr>
          <w:rFonts w:cs="Tahoma"/>
          <w:b/>
          <w:sz w:val="24"/>
          <w:szCs w:val="24"/>
        </w:rPr>
        <w:t>What:</w:t>
      </w:r>
      <w:r w:rsidRPr="0046131F">
        <w:rPr>
          <w:rFonts w:cs="Tahoma"/>
          <w:sz w:val="24"/>
          <w:szCs w:val="24"/>
        </w:rPr>
        <w:t xml:space="preserve"> The Corrected Heparin Level is used to determine the level of unfractionated Heparin that is present in a sample when a patient is also receiving another anticoagulants (such as rivaroxaban, apixaban, edoxaban or fondaparinux). These anticoagulants may interfere with Liquid Anti-Xa Assays.  </w:t>
      </w:r>
    </w:p>
    <w:p w:rsidR="008377B1" w:rsidRPr="0046131F" w:rsidRDefault="008377B1" w:rsidP="008377B1">
      <w:pPr>
        <w:spacing w:line="240" w:lineRule="auto"/>
        <w:rPr>
          <w:rFonts w:cs="Tahoma"/>
          <w:sz w:val="24"/>
          <w:szCs w:val="24"/>
        </w:rPr>
      </w:pPr>
      <w:r w:rsidRPr="0046131F">
        <w:rPr>
          <w:rFonts w:cs="Tahoma"/>
          <w:b/>
          <w:sz w:val="24"/>
          <w:szCs w:val="24"/>
        </w:rPr>
        <w:t>Who:</w:t>
      </w:r>
      <w:r w:rsidRPr="0046131F">
        <w:rPr>
          <w:rFonts w:cs="Tahoma"/>
          <w:sz w:val="24"/>
          <w:szCs w:val="24"/>
        </w:rPr>
        <w:t xml:space="preserve"> Should be used in patients who are starting heparin but have taken another anticoagulant in the last 48 hours.</w:t>
      </w:r>
    </w:p>
    <w:p w:rsidR="008377B1" w:rsidRPr="0046131F" w:rsidRDefault="008377B1" w:rsidP="008377B1">
      <w:pPr>
        <w:spacing w:line="240" w:lineRule="auto"/>
        <w:rPr>
          <w:rFonts w:cs="Tahoma"/>
          <w:sz w:val="24"/>
          <w:szCs w:val="24"/>
        </w:rPr>
      </w:pPr>
      <w:r w:rsidRPr="0046131F">
        <w:rPr>
          <w:rFonts w:cs="Tahoma"/>
          <w:b/>
          <w:sz w:val="24"/>
          <w:szCs w:val="24"/>
        </w:rPr>
        <w:t>When:</w:t>
      </w:r>
      <w:r w:rsidRPr="0046131F">
        <w:rPr>
          <w:rFonts w:cs="Tahoma"/>
          <w:sz w:val="24"/>
          <w:szCs w:val="24"/>
        </w:rPr>
        <w:t xml:space="preserve"> The assay is available 24/7 and is performed in the Core Laboratory.</w:t>
      </w:r>
    </w:p>
    <w:p w:rsidR="008377B1" w:rsidRPr="0046131F" w:rsidRDefault="008377B1" w:rsidP="008377B1">
      <w:pPr>
        <w:spacing w:line="240" w:lineRule="auto"/>
        <w:rPr>
          <w:rFonts w:cs="Tahoma"/>
          <w:sz w:val="24"/>
          <w:szCs w:val="24"/>
        </w:rPr>
      </w:pPr>
      <w:r w:rsidRPr="0046131F">
        <w:rPr>
          <w:rFonts w:cs="Tahoma"/>
          <w:b/>
          <w:sz w:val="24"/>
          <w:szCs w:val="24"/>
        </w:rPr>
        <w:t>Other details:</w:t>
      </w:r>
      <w:r w:rsidRPr="0046131F">
        <w:rPr>
          <w:rFonts w:cs="Tahoma"/>
          <w:sz w:val="24"/>
          <w:szCs w:val="24"/>
        </w:rPr>
        <w:t xml:space="preserve"> Critical value is &gt;2.00 U/mL.</w:t>
      </w:r>
    </w:p>
    <w:p w:rsidR="008377B1" w:rsidRPr="0046131F" w:rsidRDefault="008377B1" w:rsidP="008377B1">
      <w:pPr>
        <w:spacing w:line="240" w:lineRule="auto"/>
        <w:rPr>
          <w:rFonts w:cs="Tahoma"/>
          <w:sz w:val="24"/>
          <w:szCs w:val="24"/>
        </w:rPr>
      </w:pPr>
      <w:r w:rsidRPr="0046131F">
        <w:rPr>
          <w:rFonts w:cs="Tahoma"/>
          <w:sz w:val="24"/>
          <w:szCs w:val="24"/>
        </w:rPr>
        <w:t>Due to the additional steps required for reporting results, the expected turn-around time will be longer than the standard Heparin Level.  Estimated TAT = 1-1.5 hours.</w:t>
      </w:r>
    </w:p>
    <w:p w:rsidR="008377B1" w:rsidRDefault="008377B1" w:rsidP="008377B1">
      <w:pPr>
        <w:spacing w:line="240" w:lineRule="auto"/>
        <w:rPr>
          <w:rFonts w:cs="Tahoma"/>
          <w:sz w:val="24"/>
          <w:szCs w:val="24"/>
        </w:rPr>
      </w:pPr>
      <w:r w:rsidRPr="0046131F">
        <w:rPr>
          <w:rFonts w:cs="Tahoma"/>
          <w:sz w:val="24"/>
          <w:szCs w:val="24"/>
        </w:rPr>
        <w:t>If the laboratory determines that the patient sample no longer contains the interference from another anticoagulant, a note will be appended to the result and an FYI page will be sent to the unit based pharmacist.  For subsequent samples, the Heparin Level should be ordered instead of the Corrected Heparin Level.</w:t>
      </w:r>
    </w:p>
    <w:p w:rsidR="0046131F" w:rsidRPr="0046131F" w:rsidRDefault="0046131F" w:rsidP="008377B1">
      <w:pPr>
        <w:spacing w:line="240" w:lineRule="auto"/>
        <w:rPr>
          <w:rFonts w:cs="Tahoma"/>
          <w:sz w:val="24"/>
          <w:szCs w:val="24"/>
        </w:rPr>
      </w:pPr>
    </w:p>
    <w:p w:rsidR="0046131F" w:rsidRPr="0046131F" w:rsidRDefault="0046131F" w:rsidP="0046131F">
      <w:pPr>
        <w:spacing w:after="0" w:line="240" w:lineRule="auto"/>
        <w:jc w:val="center"/>
        <w:rPr>
          <w:rFonts w:eastAsia="Times New Roman" w:cs="Times New Roman"/>
          <w:b/>
          <w:color w:val="000000"/>
          <w:sz w:val="24"/>
          <w:szCs w:val="24"/>
        </w:rPr>
      </w:pPr>
      <w:r w:rsidRPr="0046131F">
        <w:rPr>
          <w:rFonts w:eastAsia="Times New Roman" w:cs="Times New Roman"/>
          <w:b/>
          <w:color w:val="000000"/>
          <w:sz w:val="24"/>
          <w:szCs w:val="24"/>
        </w:rPr>
        <w:t>Auto-cancellation of “Duplicate” Tests</w:t>
      </w:r>
      <w:r w:rsidR="008F1984">
        <w:rPr>
          <w:rFonts w:eastAsia="Times New Roman" w:cs="Times New Roman"/>
          <w:b/>
          <w:color w:val="000000"/>
          <w:sz w:val="24"/>
          <w:szCs w:val="24"/>
        </w:rPr>
        <w:t xml:space="preserve"> by EPIC</w:t>
      </w:r>
    </w:p>
    <w:p w:rsidR="0046131F" w:rsidRPr="0046131F" w:rsidRDefault="0046131F" w:rsidP="0046131F">
      <w:pPr>
        <w:spacing w:after="100" w:afterAutospacing="1" w:line="240" w:lineRule="auto"/>
        <w:jc w:val="center"/>
        <w:rPr>
          <w:rFonts w:eastAsia="Times New Roman" w:cs="Times New Roman"/>
          <w:b/>
          <w:color w:val="000000"/>
          <w:sz w:val="24"/>
          <w:szCs w:val="24"/>
        </w:rPr>
      </w:pPr>
      <w:r w:rsidRPr="0046131F">
        <w:rPr>
          <w:rFonts w:eastAsia="Times New Roman" w:cs="Times New Roman"/>
          <w:b/>
          <w:color w:val="000000"/>
          <w:sz w:val="24"/>
          <w:szCs w:val="24"/>
        </w:rPr>
        <w:t>Comprehensive Metabolic Profile and Hepatic Profile</w:t>
      </w:r>
    </w:p>
    <w:p w:rsidR="0046131F" w:rsidRPr="0046131F" w:rsidRDefault="0046131F" w:rsidP="008F1984">
      <w:pPr>
        <w:spacing w:after="0" w:line="240" w:lineRule="auto"/>
        <w:rPr>
          <w:rFonts w:eastAsia="Times New Roman" w:cs="Times New Roman"/>
          <w:sz w:val="24"/>
          <w:szCs w:val="24"/>
        </w:rPr>
      </w:pPr>
      <w:r w:rsidRPr="0046131F">
        <w:rPr>
          <w:rFonts w:eastAsia="Times New Roman" w:cs="Times New Roman"/>
          <w:color w:val="000000"/>
          <w:sz w:val="24"/>
          <w:szCs w:val="24"/>
        </w:rPr>
        <w:t>When orders are entered for a Comprehensive Metabolic Profile or a Hepatic Profile within 30 minutes before or within 59 minutes after an order is placed for a second profile (Hepatic before/after a Comprehensive or a Comprehensive before/after a Hepatic) for the same patient, the orders will be combined and only the Comprehensive Metabolic Profile will be an active order.</w:t>
      </w:r>
      <w:r w:rsidR="008F1984">
        <w:rPr>
          <w:rFonts w:eastAsia="Times New Roman" w:cs="Times New Roman"/>
          <w:color w:val="000000"/>
          <w:sz w:val="24"/>
          <w:szCs w:val="24"/>
        </w:rPr>
        <w:t xml:space="preserve">  This is specific to orders placed in EPIC.  For samples submitted via paper requisition for both profiles, the Laboratory will cancel the Hepatic Profile and order a c-bilirubin.</w:t>
      </w:r>
    </w:p>
    <w:p w:rsidR="0046131F" w:rsidRPr="0046131F" w:rsidRDefault="0046131F" w:rsidP="0046131F">
      <w:pPr>
        <w:spacing w:before="100" w:beforeAutospacing="1" w:after="100" w:afterAutospacing="1" w:line="240" w:lineRule="auto"/>
        <w:jc w:val="center"/>
        <w:rPr>
          <w:sz w:val="24"/>
          <w:szCs w:val="24"/>
        </w:rPr>
      </w:pPr>
      <w:r w:rsidRPr="0046131F">
        <w:rPr>
          <w:b/>
          <w:sz w:val="24"/>
          <w:szCs w:val="24"/>
        </w:rPr>
        <w:t>Clarification of Add-On Test Requests</w:t>
      </w:r>
    </w:p>
    <w:p w:rsidR="0046131F" w:rsidRPr="0046131F" w:rsidRDefault="0046131F" w:rsidP="0046131F">
      <w:pPr>
        <w:rPr>
          <w:sz w:val="24"/>
          <w:szCs w:val="24"/>
        </w:rPr>
      </w:pPr>
      <w:r w:rsidRPr="0046131F">
        <w:rPr>
          <w:sz w:val="24"/>
          <w:szCs w:val="24"/>
        </w:rPr>
        <w:t>The information concerning Add-on Test Requests published in the last Laboratory Medicine Update is clarified below:</w:t>
      </w:r>
    </w:p>
    <w:p w:rsidR="0046131F" w:rsidRPr="0046131F" w:rsidRDefault="0046131F" w:rsidP="0046131F">
      <w:pPr>
        <w:spacing w:after="0" w:line="240" w:lineRule="auto"/>
        <w:rPr>
          <w:sz w:val="24"/>
          <w:szCs w:val="24"/>
        </w:rPr>
      </w:pPr>
      <w:r w:rsidRPr="0046131F">
        <w:rPr>
          <w:sz w:val="24"/>
          <w:szCs w:val="24"/>
        </w:rPr>
        <w:t>When requesting add-on testing to a sample already in the laboratory, please remember to:</w:t>
      </w:r>
    </w:p>
    <w:p w:rsidR="0046131F" w:rsidRPr="0046131F" w:rsidRDefault="0046131F" w:rsidP="0046131F">
      <w:pPr>
        <w:pStyle w:val="ListParagraph"/>
        <w:numPr>
          <w:ilvl w:val="0"/>
          <w:numId w:val="1"/>
        </w:numPr>
        <w:spacing w:line="240" w:lineRule="auto"/>
        <w:rPr>
          <w:sz w:val="24"/>
          <w:szCs w:val="24"/>
        </w:rPr>
      </w:pPr>
      <w:r w:rsidRPr="0046131F">
        <w:rPr>
          <w:b/>
          <w:sz w:val="24"/>
          <w:szCs w:val="24"/>
        </w:rPr>
        <w:t xml:space="preserve">For inpatients only: </w:t>
      </w:r>
      <w:r w:rsidRPr="0046131F">
        <w:rPr>
          <w:sz w:val="24"/>
          <w:szCs w:val="24"/>
        </w:rPr>
        <w:t xml:space="preserve">Type </w:t>
      </w:r>
      <w:r w:rsidRPr="0046131F">
        <w:rPr>
          <w:i/>
          <w:sz w:val="24"/>
          <w:szCs w:val="24"/>
        </w:rPr>
        <w:t>“Add-On”</w:t>
      </w:r>
      <w:r w:rsidRPr="0046131F">
        <w:rPr>
          <w:sz w:val="24"/>
          <w:szCs w:val="24"/>
        </w:rPr>
        <w:t xml:space="preserve"> in the comment section when placing the order in Epic.  Failure to do so will result in a new sample being drawn.</w:t>
      </w:r>
    </w:p>
    <w:p w:rsidR="0046131F" w:rsidRPr="0046131F" w:rsidRDefault="0046131F" w:rsidP="0046131F">
      <w:pPr>
        <w:pStyle w:val="ListParagraph"/>
        <w:numPr>
          <w:ilvl w:val="0"/>
          <w:numId w:val="1"/>
        </w:numPr>
        <w:spacing w:line="240" w:lineRule="auto"/>
        <w:rPr>
          <w:sz w:val="24"/>
          <w:szCs w:val="24"/>
        </w:rPr>
      </w:pPr>
      <w:r w:rsidRPr="0046131F">
        <w:rPr>
          <w:b/>
          <w:sz w:val="24"/>
          <w:szCs w:val="24"/>
        </w:rPr>
        <w:t xml:space="preserve">For both inpatients and outpatients: </w:t>
      </w:r>
      <w:r w:rsidRPr="0046131F">
        <w:rPr>
          <w:sz w:val="24"/>
          <w:szCs w:val="24"/>
        </w:rPr>
        <w:t>Call 4-LABS (4-5227) and leave a message on the “Add-on” line.  This is the only mechanism by which the laboratory knows that an add-on order exists.</w:t>
      </w:r>
    </w:p>
    <w:p w:rsidR="008377B1" w:rsidRPr="0046131F" w:rsidRDefault="008377B1" w:rsidP="008F1984">
      <w:pPr>
        <w:spacing w:line="240" w:lineRule="auto"/>
        <w:rPr>
          <w:b/>
          <w:sz w:val="24"/>
          <w:szCs w:val="24"/>
        </w:rPr>
      </w:pPr>
    </w:p>
    <w:sectPr w:rsidR="008377B1" w:rsidRPr="0046131F" w:rsidSect="0046131F">
      <w:footerReference w:type="default" r:id="rId8"/>
      <w:pgSz w:w="12240" w:h="15840"/>
      <w:pgMar w:top="1080" w:right="1440" w:bottom="99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03F4" w:rsidRDefault="00F403F4" w:rsidP="0046131F">
      <w:pPr>
        <w:spacing w:after="0" w:line="240" w:lineRule="auto"/>
      </w:pPr>
      <w:r>
        <w:separator/>
      </w:r>
    </w:p>
  </w:endnote>
  <w:endnote w:type="continuationSeparator" w:id="0">
    <w:p w:rsidR="00F403F4" w:rsidRDefault="00F403F4" w:rsidP="00461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131F" w:rsidRPr="0046131F" w:rsidRDefault="0046131F" w:rsidP="0046131F">
    <w:pPr>
      <w:pStyle w:val="Footer"/>
      <w:jc w:val="center"/>
      <w:rPr>
        <w:sz w:val="20"/>
        <w:szCs w:val="20"/>
      </w:rPr>
    </w:pPr>
    <w:r w:rsidRPr="0046131F">
      <w:rPr>
        <w:sz w:val="20"/>
        <w:szCs w:val="20"/>
      </w:rPr>
      <w:t xml:space="preserve">Page </w:t>
    </w:r>
    <w:r w:rsidRPr="0046131F">
      <w:rPr>
        <w:sz w:val="20"/>
        <w:szCs w:val="20"/>
      </w:rPr>
      <w:fldChar w:fldCharType="begin"/>
    </w:r>
    <w:r w:rsidRPr="0046131F">
      <w:rPr>
        <w:sz w:val="20"/>
        <w:szCs w:val="20"/>
      </w:rPr>
      <w:instrText xml:space="preserve"> PAGE  \* Arabic  \* MERGEFORMAT </w:instrText>
    </w:r>
    <w:r w:rsidRPr="0046131F">
      <w:rPr>
        <w:sz w:val="20"/>
        <w:szCs w:val="20"/>
      </w:rPr>
      <w:fldChar w:fldCharType="separate"/>
    </w:r>
    <w:r w:rsidR="004F1CD6">
      <w:rPr>
        <w:noProof/>
        <w:sz w:val="20"/>
        <w:szCs w:val="20"/>
      </w:rPr>
      <w:t>1</w:t>
    </w:r>
    <w:r w:rsidRPr="0046131F">
      <w:rPr>
        <w:sz w:val="20"/>
        <w:szCs w:val="20"/>
      </w:rPr>
      <w:fldChar w:fldCharType="end"/>
    </w:r>
    <w:r w:rsidRPr="0046131F">
      <w:rPr>
        <w:sz w:val="20"/>
        <w:szCs w:val="20"/>
      </w:rPr>
      <w:t xml:space="preserve"> of </w:t>
    </w:r>
    <w:r w:rsidRPr="0046131F">
      <w:rPr>
        <w:sz w:val="20"/>
        <w:szCs w:val="20"/>
      </w:rPr>
      <w:fldChar w:fldCharType="begin"/>
    </w:r>
    <w:r w:rsidRPr="0046131F">
      <w:rPr>
        <w:sz w:val="20"/>
        <w:szCs w:val="20"/>
      </w:rPr>
      <w:instrText xml:space="preserve"> NUMPAGES  \* Arabic  \* MERGEFORMAT </w:instrText>
    </w:r>
    <w:r w:rsidRPr="0046131F">
      <w:rPr>
        <w:sz w:val="20"/>
        <w:szCs w:val="20"/>
      </w:rPr>
      <w:fldChar w:fldCharType="separate"/>
    </w:r>
    <w:r w:rsidR="004F1CD6">
      <w:rPr>
        <w:noProof/>
        <w:sz w:val="20"/>
        <w:szCs w:val="20"/>
      </w:rPr>
      <w:t>2</w:t>
    </w:r>
    <w:r w:rsidRPr="0046131F">
      <w:rP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03F4" w:rsidRDefault="00F403F4" w:rsidP="0046131F">
      <w:pPr>
        <w:spacing w:after="0" w:line="240" w:lineRule="auto"/>
      </w:pPr>
      <w:r>
        <w:separator/>
      </w:r>
    </w:p>
  </w:footnote>
  <w:footnote w:type="continuationSeparator" w:id="0">
    <w:p w:rsidR="00F403F4" w:rsidRDefault="00F403F4" w:rsidP="004613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225415"/>
    <w:multiLevelType w:val="hybridMultilevel"/>
    <w:tmpl w:val="DF08B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419"/>
    <w:rsid w:val="001B501D"/>
    <w:rsid w:val="001C4035"/>
    <w:rsid w:val="002A3A19"/>
    <w:rsid w:val="0043723A"/>
    <w:rsid w:val="00452C5D"/>
    <w:rsid w:val="0046131F"/>
    <w:rsid w:val="004F1CD6"/>
    <w:rsid w:val="007C5B0C"/>
    <w:rsid w:val="008377B1"/>
    <w:rsid w:val="008F1984"/>
    <w:rsid w:val="00943419"/>
    <w:rsid w:val="0095691D"/>
    <w:rsid w:val="00B122AD"/>
    <w:rsid w:val="00B31EF6"/>
    <w:rsid w:val="00D32227"/>
    <w:rsid w:val="00F403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2227"/>
    <w:pPr>
      <w:ind w:left="720"/>
      <w:contextualSpacing/>
    </w:pPr>
    <w:rPr>
      <w:rFonts w:eastAsiaTheme="minorEastAsia"/>
    </w:rPr>
  </w:style>
  <w:style w:type="paragraph" w:styleId="NoSpacing">
    <w:name w:val="No Spacing"/>
    <w:uiPriority w:val="99"/>
    <w:qFormat/>
    <w:rsid w:val="001C4035"/>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4613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131F"/>
  </w:style>
  <w:style w:type="paragraph" w:styleId="Footer">
    <w:name w:val="footer"/>
    <w:basedOn w:val="Normal"/>
    <w:link w:val="FooterChar"/>
    <w:uiPriority w:val="99"/>
    <w:unhideWhenUsed/>
    <w:rsid w:val="004613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131F"/>
  </w:style>
  <w:style w:type="paragraph" w:styleId="BalloonText">
    <w:name w:val="Balloon Text"/>
    <w:basedOn w:val="Normal"/>
    <w:link w:val="BalloonTextChar"/>
    <w:uiPriority w:val="99"/>
    <w:semiHidden/>
    <w:unhideWhenUsed/>
    <w:rsid w:val="008F19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198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2227"/>
    <w:pPr>
      <w:ind w:left="720"/>
      <w:contextualSpacing/>
    </w:pPr>
    <w:rPr>
      <w:rFonts w:eastAsiaTheme="minorEastAsia"/>
    </w:rPr>
  </w:style>
  <w:style w:type="paragraph" w:styleId="NoSpacing">
    <w:name w:val="No Spacing"/>
    <w:uiPriority w:val="99"/>
    <w:qFormat/>
    <w:rsid w:val="001C4035"/>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4613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131F"/>
  </w:style>
  <w:style w:type="paragraph" w:styleId="Footer">
    <w:name w:val="footer"/>
    <w:basedOn w:val="Normal"/>
    <w:link w:val="FooterChar"/>
    <w:uiPriority w:val="99"/>
    <w:unhideWhenUsed/>
    <w:rsid w:val="004613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131F"/>
  </w:style>
  <w:style w:type="paragraph" w:styleId="BalloonText">
    <w:name w:val="Balloon Text"/>
    <w:basedOn w:val="Normal"/>
    <w:link w:val="BalloonTextChar"/>
    <w:uiPriority w:val="99"/>
    <w:semiHidden/>
    <w:unhideWhenUsed/>
    <w:rsid w:val="008F19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198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4132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760</Words>
  <Characters>4332</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5082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2016-08-31T18:05:00Z</cp:lastPrinted>
  <dcterms:created xsi:type="dcterms:W3CDTF">2016-08-31T18:21:00Z</dcterms:created>
  <dcterms:modified xsi:type="dcterms:W3CDTF">2016-08-31T18:21:00Z</dcterms:modified>
</cp:coreProperties>
</file>