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1253" w:rsidRPr="0043707F" w:rsidRDefault="00561253" w:rsidP="00561253">
      <w:pPr>
        <w:pStyle w:val="NoSpacing"/>
        <w:jc w:val="center"/>
        <w:outlineLvl w:val="0"/>
        <w:rPr>
          <w:rFonts w:ascii="Calibri" w:hAnsi="Calibri"/>
          <w:sz w:val="28"/>
          <w:szCs w:val="28"/>
        </w:rPr>
      </w:pPr>
      <w:bookmarkStart w:id="0" w:name="_GoBack"/>
      <w:bookmarkEnd w:id="0"/>
      <w:r w:rsidRPr="0043707F">
        <w:rPr>
          <w:rFonts w:ascii="Calibri" w:hAnsi="Calibri"/>
          <w:sz w:val="28"/>
          <w:szCs w:val="28"/>
        </w:rPr>
        <w:t>University of Virginia Health System</w:t>
      </w:r>
    </w:p>
    <w:p w:rsidR="00561253" w:rsidRPr="0043707F" w:rsidRDefault="00561253" w:rsidP="00561253">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561253" w:rsidRPr="0043707F" w:rsidRDefault="00561253" w:rsidP="00561253">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561253" w:rsidRPr="0043707F" w:rsidRDefault="00561253" w:rsidP="00561253">
      <w:pPr>
        <w:pStyle w:val="NoSpacing"/>
        <w:jc w:val="center"/>
        <w:rPr>
          <w:rFonts w:ascii="Calibri" w:hAnsi="Calibri"/>
          <w:b/>
          <w:i/>
          <w:snapToGrid w:val="0"/>
        </w:rPr>
      </w:pPr>
    </w:p>
    <w:p w:rsidR="00561253" w:rsidRPr="0043707F" w:rsidRDefault="00561253" w:rsidP="00561253">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561253" w:rsidRDefault="00561253" w:rsidP="00F95EAB">
      <w:pPr>
        <w:spacing w:line="240" w:lineRule="auto"/>
        <w:jc w:val="center"/>
        <w:rPr>
          <w:rFonts w:ascii="Calibri" w:hAnsi="Calibri"/>
          <w:snapToGrid w:val="0"/>
          <w:sz w:val="28"/>
          <w:szCs w:val="28"/>
          <w:u w:val="single"/>
        </w:rPr>
      </w:pPr>
      <w:r>
        <w:rPr>
          <w:rFonts w:ascii="Calibri" w:hAnsi="Calibri"/>
          <w:snapToGrid w:val="0"/>
          <w:sz w:val="28"/>
          <w:szCs w:val="28"/>
          <w:u w:val="single"/>
        </w:rPr>
        <w:t>October 21</w:t>
      </w:r>
      <w:r w:rsidRPr="0043707F">
        <w:rPr>
          <w:rFonts w:ascii="Calibri" w:hAnsi="Calibri"/>
          <w:snapToGrid w:val="0"/>
          <w:sz w:val="28"/>
          <w:szCs w:val="28"/>
          <w:u w:val="single"/>
        </w:rPr>
        <w:t>, 201</w:t>
      </w:r>
      <w:r>
        <w:rPr>
          <w:rFonts w:ascii="Calibri" w:hAnsi="Calibri"/>
          <w:snapToGrid w:val="0"/>
          <w:sz w:val="28"/>
          <w:szCs w:val="28"/>
          <w:u w:val="single"/>
        </w:rPr>
        <w:t>5</w:t>
      </w:r>
    </w:p>
    <w:p w:rsidR="00F95EAB" w:rsidRPr="00F95EAB" w:rsidRDefault="00F95EAB" w:rsidP="00F95EAB">
      <w:pPr>
        <w:spacing w:line="240" w:lineRule="auto"/>
        <w:jc w:val="center"/>
        <w:rPr>
          <w:b/>
          <w:sz w:val="24"/>
          <w:szCs w:val="24"/>
        </w:rPr>
      </w:pPr>
      <w:r w:rsidRPr="00F95EAB">
        <w:rPr>
          <w:b/>
          <w:sz w:val="24"/>
          <w:szCs w:val="24"/>
        </w:rPr>
        <w:t>Next Generation Sequencing (NGS) Illumina TruSight Myeloid Panel</w:t>
      </w:r>
    </w:p>
    <w:p w:rsidR="00F95EAB" w:rsidRDefault="00F95EAB" w:rsidP="00F95EAB">
      <w:pPr>
        <w:spacing w:line="240" w:lineRule="auto"/>
        <w:rPr>
          <w:sz w:val="24"/>
          <w:szCs w:val="24"/>
        </w:rPr>
      </w:pPr>
      <w:r>
        <w:rPr>
          <w:sz w:val="24"/>
          <w:szCs w:val="24"/>
        </w:rPr>
        <w:t>The Medical Laboratories beg</w:t>
      </w:r>
      <w:r w:rsidR="00E7053A">
        <w:rPr>
          <w:sz w:val="24"/>
          <w:szCs w:val="24"/>
        </w:rPr>
        <w:t>an</w:t>
      </w:r>
      <w:r>
        <w:rPr>
          <w:sz w:val="24"/>
          <w:szCs w:val="24"/>
        </w:rPr>
        <w:t xml:space="preserve"> offering the TruSight Myeloid Sequencing Panel on October 1, 2015.   This assay provides a comprehensive assessment of 54 genes (tumor suppressor genes and oncogenic hotspots) known to be frequently mutated in hematological malignancies, focusing on leukemia and myeloproliferative disorders (MDS – AML continuum).  </w:t>
      </w:r>
    </w:p>
    <w:p w:rsidR="00F95EAB" w:rsidRDefault="00F95EAB" w:rsidP="00F95EAB">
      <w:pPr>
        <w:spacing w:line="240" w:lineRule="auto"/>
        <w:rPr>
          <w:sz w:val="24"/>
          <w:szCs w:val="24"/>
        </w:rPr>
      </w:pPr>
      <w:r>
        <w:rPr>
          <w:sz w:val="24"/>
          <w:szCs w:val="24"/>
        </w:rPr>
        <w:t xml:space="preserve">The panel features a highly optimized oligo pool that focuses on ~141 kb of genomic content, consisting of 568 amplicons of ~250 bp in length designed against the human NCBI37/hg19 reference genome.  The oligo pool targets 15 full genes (exons only) plus exonic hotspots of an additional 39 genes, providing nearly 100% coverage of all targeted regions. </w:t>
      </w:r>
    </w:p>
    <w:tbl>
      <w:tblPr>
        <w:tblStyle w:val="TableGrid"/>
        <w:tblW w:w="0" w:type="auto"/>
        <w:tblLook w:val="04A0" w:firstRow="1" w:lastRow="0" w:firstColumn="1" w:lastColumn="0" w:noHBand="0" w:noVBand="1"/>
      </w:tblPr>
      <w:tblGrid>
        <w:gridCol w:w="987"/>
        <w:gridCol w:w="1032"/>
        <w:gridCol w:w="1136"/>
        <w:gridCol w:w="922"/>
        <w:gridCol w:w="957"/>
        <w:gridCol w:w="1046"/>
        <w:gridCol w:w="1019"/>
        <w:gridCol w:w="948"/>
        <w:gridCol w:w="914"/>
      </w:tblGrid>
      <w:tr w:rsidR="00F95EAB" w:rsidTr="006E0123">
        <w:tc>
          <w:tcPr>
            <w:tcW w:w="987" w:type="dxa"/>
          </w:tcPr>
          <w:p w:rsidR="00F95EAB" w:rsidRDefault="00F95EAB" w:rsidP="00F95EAB">
            <w:pPr>
              <w:jc w:val="center"/>
              <w:rPr>
                <w:sz w:val="24"/>
                <w:szCs w:val="24"/>
              </w:rPr>
            </w:pPr>
            <w:r>
              <w:rPr>
                <w:sz w:val="24"/>
                <w:szCs w:val="24"/>
              </w:rPr>
              <w:t>ABL1</w:t>
            </w:r>
          </w:p>
        </w:tc>
        <w:tc>
          <w:tcPr>
            <w:tcW w:w="1032" w:type="dxa"/>
          </w:tcPr>
          <w:p w:rsidR="00F95EAB" w:rsidRDefault="00F95EAB" w:rsidP="00F95EAB">
            <w:pPr>
              <w:jc w:val="center"/>
              <w:rPr>
                <w:sz w:val="24"/>
                <w:szCs w:val="24"/>
              </w:rPr>
            </w:pPr>
            <w:r>
              <w:rPr>
                <w:sz w:val="24"/>
                <w:szCs w:val="24"/>
              </w:rPr>
              <w:t>CALR</w:t>
            </w:r>
          </w:p>
        </w:tc>
        <w:tc>
          <w:tcPr>
            <w:tcW w:w="1136" w:type="dxa"/>
          </w:tcPr>
          <w:p w:rsidR="00F95EAB" w:rsidRDefault="00F95EAB" w:rsidP="00F95EAB">
            <w:pPr>
              <w:jc w:val="center"/>
              <w:rPr>
                <w:sz w:val="24"/>
                <w:szCs w:val="24"/>
              </w:rPr>
            </w:pPr>
            <w:r>
              <w:rPr>
                <w:sz w:val="24"/>
                <w:szCs w:val="24"/>
              </w:rPr>
              <w:t>CSF3R</w:t>
            </w:r>
          </w:p>
        </w:tc>
        <w:tc>
          <w:tcPr>
            <w:tcW w:w="922" w:type="dxa"/>
          </w:tcPr>
          <w:p w:rsidR="00F95EAB" w:rsidRDefault="00F95EAB" w:rsidP="00F95EAB">
            <w:pPr>
              <w:jc w:val="center"/>
              <w:rPr>
                <w:sz w:val="24"/>
                <w:szCs w:val="24"/>
              </w:rPr>
            </w:pPr>
            <w:r>
              <w:rPr>
                <w:sz w:val="24"/>
                <w:szCs w:val="24"/>
              </w:rPr>
              <w:t>FLT3</w:t>
            </w:r>
          </w:p>
        </w:tc>
        <w:tc>
          <w:tcPr>
            <w:tcW w:w="957" w:type="dxa"/>
          </w:tcPr>
          <w:p w:rsidR="00F95EAB" w:rsidRDefault="00F95EAB" w:rsidP="00F95EAB">
            <w:pPr>
              <w:jc w:val="center"/>
              <w:rPr>
                <w:sz w:val="24"/>
                <w:szCs w:val="24"/>
              </w:rPr>
            </w:pPr>
            <w:r>
              <w:rPr>
                <w:sz w:val="24"/>
                <w:szCs w:val="24"/>
              </w:rPr>
              <w:t>IDH2</w:t>
            </w:r>
          </w:p>
        </w:tc>
        <w:tc>
          <w:tcPr>
            <w:tcW w:w="1046" w:type="dxa"/>
          </w:tcPr>
          <w:p w:rsidR="00F95EAB" w:rsidRDefault="00F95EAB" w:rsidP="00F95EAB">
            <w:pPr>
              <w:jc w:val="center"/>
              <w:rPr>
                <w:sz w:val="24"/>
                <w:szCs w:val="24"/>
              </w:rPr>
            </w:pPr>
            <w:r>
              <w:rPr>
                <w:sz w:val="24"/>
                <w:szCs w:val="24"/>
              </w:rPr>
              <w:t>KRAS</w:t>
            </w:r>
          </w:p>
        </w:tc>
        <w:tc>
          <w:tcPr>
            <w:tcW w:w="1019" w:type="dxa"/>
          </w:tcPr>
          <w:p w:rsidR="00F95EAB" w:rsidRDefault="00F95EAB" w:rsidP="00F95EAB">
            <w:pPr>
              <w:jc w:val="center"/>
              <w:rPr>
                <w:sz w:val="24"/>
                <w:szCs w:val="24"/>
              </w:rPr>
            </w:pPr>
            <w:r>
              <w:rPr>
                <w:sz w:val="24"/>
                <w:szCs w:val="24"/>
              </w:rPr>
              <w:t>NRAS</w:t>
            </w:r>
          </w:p>
        </w:tc>
        <w:tc>
          <w:tcPr>
            <w:tcW w:w="948" w:type="dxa"/>
          </w:tcPr>
          <w:p w:rsidR="00F95EAB" w:rsidRDefault="00F95EAB" w:rsidP="00F95EAB">
            <w:pPr>
              <w:jc w:val="center"/>
              <w:rPr>
                <w:sz w:val="24"/>
                <w:szCs w:val="24"/>
              </w:rPr>
            </w:pPr>
            <w:r>
              <w:rPr>
                <w:sz w:val="24"/>
                <w:szCs w:val="24"/>
              </w:rPr>
              <w:t>RUNX1</w:t>
            </w:r>
          </w:p>
        </w:tc>
        <w:tc>
          <w:tcPr>
            <w:tcW w:w="914" w:type="dxa"/>
          </w:tcPr>
          <w:p w:rsidR="00F95EAB" w:rsidRDefault="00F95EAB" w:rsidP="00F95EAB">
            <w:pPr>
              <w:jc w:val="center"/>
              <w:rPr>
                <w:sz w:val="24"/>
                <w:szCs w:val="24"/>
              </w:rPr>
            </w:pPr>
            <w:r>
              <w:rPr>
                <w:sz w:val="24"/>
                <w:szCs w:val="24"/>
              </w:rPr>
              <w:t>STAG2</w:t>
            </w:r>
          </w:p>
        </w:tc>
      </w:tr>
      <w:tr w:rsidR="00F95EAB" w:rsidTr="006E0123">
        <w:tc>
          <w:tcPr>
            <w:tcW w:w="987" w:type="dxa"/>
          </w:tcPr>
          <w:p w:rsidR="00F95EAB" w:rsidRDefault="00F95EAB" w:rsidP="00F95EAB">
            <w:pPr>
              <w:jc w:val="center"/>
              <w:rPr>
                <w:sz w:val="24"/>
                <w:szCs w:val="24"/>
              </w:rPr>
            </w:pPr>
            <w:r>
              <w:rPr>
                <w:sz w:val="24"/>
                <w:szCs w:val="24"/>
              </w:rPr>
              <w:t>ASXL1</w:t>
            </w:r>
          </w:p>
        </w:tc>
        <w:tc>
          <w:tcPr>
            <w:tcW w:w="1032" w:type="dxa"/>
          </w:tcPr>
          <w:p w:rsidR="00F95EAB" w:rsidRDefault="00F95EAB" w:rsidP="00F95EAB">
            <w:pPr>
              <w:jc w:val="center"/>
              <w:rPr>
                <w:sz w:val="24"/>
                <w:szCs w:val="24"/>
              </w:rPr>
            </w:pPr>
            <w:r>
              <w:rPr>
                <w:sz w:val="24"/>
                <w:szCs w:val="24"/>
              </w:rPr>
              <w:t>CBL</w:t>
            </w:r>
          </w:p>
        </w:tc>
        <w:tc>
          <w:tcPr>
            <w:tcW w:w="1136" w:type="dxa"/>
          </w:tcPr>
          <w:p w:rsidR="00F95EAB" w:rsidRDefault="00F95EAB" w:rsidP="00F95EAB">
            <w:pPr>
              <w:jc w:val="center"/>
              <w:rPr>
                <w:sz w:val="24"/>
                <w:szCs w:val="24"/>
              </w:rPr>
            </w:pPr>
            <w:r>
              <w:rPr>
                <w:sz w:val="24"/>
                <w:szCs w:val="24"/>
              </w:rPr>
              <w:t>CUX1</w:t>
            </w:r>
          </w:p>
        </w:tc>
        <w:tc>
          <w:tcPr>
            <w:tcW w:w="922" w:type="dxa"/>
          </w:tcPr>
          <w:p w:rsidR="00F95EAB" w:rsidRDefault="00F95EAB" w:rsidP="00F95EAB">
            <w:pPr>
              <w:jc w:val="center"/>
              <w:rPr>
                <w:sz w:val="24"/>
                <w:szCs w:val="24"/>
              </w:rPr>
            </w:pPr>
            <w:r>
              <w:rPr>
                <w:sz w:val="24"/>
                <w:szCs w:val="24"/>
              </w:rPr>
              <w:t>GATA1</w:t>
            </w:r>
          </w:p>
        </w:tc>
        <w:tc>
          <w:tcPr>
            <w:tcW w:w="957" w:type="dxa"/>
          </w:tcPr>
          <w:p w:rsidR="00F95EAB" w:rsidRDefault="00F95EAB" w:rsidP="00F95EAB">
            <w:pPr>
              <w:jc w:val="center"/>
              <w:rPr>
                <w:sz w:val="24"/>
                <w:szCs w:val="24"/>
              </w:rPr>
            </w:pPr>
            <w:r>
              <w:rPr>
                <w:sz w:val="24"/>
                <w:szCs w:val="24"/>
              </w:rPr>
              <w:t>IKZF1</w:t>
            </w:r>
          </w:p>
        </w:tc>
        <w:tc>
          <w:tcPr>
            <w:tcW w:w="1046" w:type="dxa"/>
          </w:tcPr>
          <w:p w:rsidR="00F95EAB" w:rsidRDefault="00F95EAB" w:rsidP="00F95EAB">
            <w:pPr>
              <w:jc w:val="center"/>
              <w:rPr>
                <w:sz w:val="24"/>
                <w:szCs w:val="24"/>
              </w:rPr>
            </w:pPr>
            <w:r>
              <w:rPr>
                <w:sz w:val="24"/>
                <w:szCs w:val="24"/>
              </w:rPr>
              <w:t>MLL</w:t>
            </w:r>
          </w:p>
        </w:tc>
        <w:tc>
          <w:tcPr>
            <w:tcW w:w="1019" w:type="dxa"/>
          </w:tcPr>
          <w:p w:rsidR="00F95EAB" w:rsidRDefault="00F95EAB" w:rsidP="00F95EAB">
            <w:pPr>
              <w:jc w:val="center"/>
              <w:rPr>
                <w:sz w:val="24"/>
                <w:szCs w:val="24"/>
              </w:rPr>
            </w:pPr>
            <w:r>
              <w:rPr>
                <w:sz w:val="24"/>
                <w:szCs w:val="24"/>
              </w:rPr>
              <w:t>PDGFRA</w:t>
            </w:r>
          </w:p>
        </w:tc>
        <w:tc>
          <w:tcPr>
            <w:tcW w:w="948" w:type="dxa"/>
          </w:tcPr>
          <w:p w:rsidR="00F95EAB" w:rsidRDefault="00F95EAB" w:rsidP="00F95EAB">
            <w:pPr>
              <w:jc w:val="center"/>
              <w:rPr>
                <w:sz w:val="24"/>
                <w:szCs w:val="24"/>
              </w:rPr>
            </w:pPr>
            <w:r>
              <w:rPr>
                <w:sz w:val="24"/>
                <w:szCs w:val="24"/>
              </w:rPr>
              <w:t>SETBP1</w:t>
            </w:r>
          </w:p>
        </w:tc>
        <w:tc>
          <w:tcPr>
            <w:tcW w:w="914" w:type="dxa"/>
          </w:tcPr>
          <w:p w:rsidR="00F95EAB" w:rsidRDefault="00F95EAB" w:rsidP="00F95EAB">
            <w:pPr>
              <w:jc w:val="center"/>
              <w:rPr>
                <w:sz w:val="24"/>
                <w:szCs w:val="24"/>
              </w:rPr>
            </w:pPr>
            <w:r>
              <w:rPr>
                <w:sz w:val="24"/>
                <w:szCs w:val="24"/>
              </w:rPr>
              <w:t>TET2</w:t>
            </w:r>
          </w:p>
        </w:tc>
      </w:tr>
      <w:tr w:rsidR="00F95EAB" w:rsidTr="006E0123">
        <w:tc>
          <w:tcPr>
            <w:tcW w:w="987" w:type="dxa"/>
          </w:tcPr>
          <w:p w:rsidR="00F95EAB" w:rsidRDefault="00F95EAB" w:rsidP="00F95EAB">
            <w:pPr>
              <w:jc w:val="center"/>
              <w:rPr>
                <w:sz w:val="24"/>
                <w:szCs w:val="24"/>
              </w:rPr>
            </w:pPr>
            <w:r>
              <w:rPr>
                <w:sz w:val="24"/>
                <w:szCs w:val="24"/>
              </w:rPr>
              <w:t>ATRX</w:t>
            </w:r>
          </w:p>
        </w:tc>
        <w:tc>
          <w:tcPr>
            <w:tcW w:w="1032" w:type="dxa"/>
          </w:tcPr>
          <w:p w:rsidR="00F95EAB" w:rsidRDefault="00F95EAB" w:rsidP="00F95EAB">
            <w:pPr>
              <w:jc w:val="center"/>
              <w:rPr>
                <w:sz w:val="24"/>
                <w:szCs w:val="24"/>
              </w:rPr>
            </w:pPr>
            <w:r>
              <w:rPr>
                <w:sz w:val="24"/>
                <w:szCs w:val="24"/>
              </w:rPr>
              <w:t>CBLB</w:t>
            </w:r>
          </w:p>
        </w:tc>
        <w:tc>
          <w:tcPr>
            <w:tcW w:w="1136" w:type="dxa"/>
          </w:tcPr>
          <w:p w:rsidR="00F95EAB" w:rsidRDefault="00F95EAB" w:rsidP="00F95EAB">
            <w:pPr>
              <w:jc w:val="center"/>
              <w:rPr>
                <w:sz w:val="24"/>
                <w:szCs w:val="24"/>
              </w:rPr>
            </w:pPr>
            <w:r>
              <w:rPr>
                <w:sz w:val="24"/>
                <w:szCs w:val="24"/>
              </w:rPr>
              <w:t>DNMT3A</w:t>
            </w:r>
          </w:p>
        </w:tc>
        <w:tc>
          <w:tcPr>
            <w:tcW w:w="922" w:type="dxa"/>
          </w:tcPr>
          <w:p w:rsidR="00F95EAB" w:rsidRDefault="00F95EAB" w:rsidP="00F95EAB">
            <w:pPr>
              <w:jc w:val="center"/>
              <w:rPr>
                <w:sz w:val="24"/>
                <w:szCs w:val="24"/>
              </w:rPr>
            </w:pPr>
            <w:r>
              <w:rPr>
                <w:sz w:val="24"/>
                <w:szCs w:val="24"/>
              </w:rPr>
              <w:t>GATA2</w:t>
            </w:r>
          </w:p>
        </w:tc>
        <w:tc>
          <w:tcPr>
            <w:tcW w:w="957" w:type="dxa"/>
          </w:tcPr>
          <w:p w:rsidR="00F95EAB" w:rsidRDefault="00F95EAB" w:rsidP="00F95EAB">
            <w:pPr>
              <w:jc w:val="center"/>
              <w:rPr>
                <w:sz w:val="24"/>
                <w:szCs w:val="24"/>
              </w:rPr>
            </w:pPr>
            <w:r>
              <w:rPr>
                <w:sz w:val="24"/>
                <w:szCs w:val="24"/>
              </w:rPr>
              <w:t>JAK2</w:t>
            </w:r>
          </w:p>
        </w:tc>
        <w:tc>
          <w:tcPr>
            <w:tcW w:w="1046" w:type="dxa"/>
          </w:tcPr>
          <w:p w:rsidR="00F95EAB" w:rsidRDefault="00F95EAB" w:rsidP="00F95EAB">
            <w:pPr>
              <w:jc w:val="center"/>
              <w:rPr>
                <w:sz w:val="24"/>
                <w:szCs w:val="24"/>
              </w:rPr>
            </w:pPr>
            <w:r>
              <w:rPr>
                <w:sz w:val="24"/>
                <w:szCs w:val="24"/>
              </w:rPr>
              <w:t>MPL</w:t>
            </w:r>
          </w:p>
        </w:tc>
        <w:tc>
          <w:tcPr>
            <w:tcW w:w="1019" w:type="dxa"/>
          </w:tcPr>
          <w:p w:rsidR="00F95EAB" w:rsidRDefault="00F95EAB" w:rsidP="00F95EAB">
            <w:pPr>
              <w:jc w:val="center"/>
              <w:rPr>
                <w:sz w:val="24"/>
                <w:szCs w:val="24"/>
              </w:rPr>
            </w:pPr>
            <w:r>
              <w:rPr>
                <w:sz w:val="24"/>
                <w:szCs w:val="24"/>
              </w:rPr>
              <w:t>PHF6</w:t>
            </w:r>
          </w:p>
        </w:tc>
        <w:tc>
          <w:tcPr>
            <w:tcW w:w="948" w:type="dxa"/>
          </w:tcPr>
          <w:p w:rsidR="00F95EAB" w:rsidRDefault="00F95EAB" w:rsidP="00F95EAB">
            <w:pPr>
              <w:jc w:val="center"/>
              <w:rPr>
                <w:sz w:val="24"/>
                <w:szCs w:val="24"/>
              </w:rPr>
            </w:pPr>
            <w:r>
              <w:rPr>
                <w:sz w:val="24"/>
                <w:szCs w:val="24"/>
              </w:rPr>
              <w:t>SF3B1</w:t>
            </w:r>
          </w:p>
        </w:tc>
        <w:tc>
          <w:tcPr>
            <w:tcW w:w="914" w:type="dxa"/>
          </w:tcPr>
          <w:p w:rsidR="00F95EAB" w:rsidRDefault="00F95EAB" w:rsidP="00F95EAB">
            <w:pPr>
              <w:jc w:val="center"/>
              <w:rPr>
                <w:sz w:val="24"/>
                <w:szCs w:val="24"/>
              </w:rPr>
            </w:pPr>
            <w:r>
              <w:rPr>
                <w:sz w:val="24"/>
                <w:szCs w:val="24"/>
              </w:rPr>
              <w:t>TP53</w:t>
            </w:r>
          </w:p>
        </w:tc>
      </w:tr>
      <w:tr w:rsidR="00F95EAB" w:rsidTr="006E0123">
        <w:tc>
          <w:tcPr>
            <w:tcW w:w="987" w:type="dxa"/>
          </w:tcPr>
          <w:p w:rsidR="00F95EAB" w:rsidRDefault="00F95EAB" w:rsidP="00F95EAB">
            <w:pPr>
              <w:jc w:val="center"/>
              <w:rPr>
                <w:sz w:val="24"/>
                <w:szCs w:val="24"/>
              </w:rPr>
            </w:pPr>
            <w:r>
              <w:rPr>
                <w:sz w:val="24"/>
                <w:szCs w:val="24"/>
              </w:rPr>
              <w:t>BCOR</w:t>
            </w:r>
          </w:p>
        </w:tc>
        <w:tc>
          <w:tcPr>
            <w:tcW w:w="1032" w:type="dxa"/>
          </w:tcPr>
          <w:p w:rsidR="00F95EAB" w:rsidRDefault="00F95EAB" w:rsidP="00F95EAB">
            <w:pPr>
              <w:jc w:val="center"/>
              <w:rPr>
                <w:sz w:val="24"/>
                <w:szCs w:val="24"/>
              </w:rPr>
            </w:pPr>
            <w:r>
              <w:rPr>
                <w:sz w:val="24"/>
                <w:szCs w:val="24"/>
              </w:rPr>
              <w:t>CBLC</w:t>
            </w:r>
          </w:p>
        </w:tc>
        <w:tc>
          <w:tcPr>
            <w:tcW w:w="1136" w:type="dxa"/>
          </w:tcPr>
          <w:p w:rsidR="00F95EAB" w:rsidRDefault="00F95EAB" w:rsidP="00F95EAB">
            <w:pPr>
              <w:jc w:val="center"/>
              <w:rPr>
                <w:sz w:val="24"/>
                <w:szCs w:val="24"/>
              </w:rPr>
            </w:pPr>
            <w:r>
              <w:rPr>
                <w:sz w:val="24"/>
                <w:szCs w:val="24"/>
              </w:rPr>
              <w:t>ETV6/TEL</w:t>
            </w:r>
          </w:p>
        </w:tc>
        <w:tc>
          <w:tcPr>
            <w:tcW w:w="922" w:type="dxa"/>
          </w:tcPr>
          <w:p w:rsidR="00F95EAB" w:rsidRDefault="00F95EAB" w:rsidP="00F95EAB">
            <w:pPr>
              <w:jc w:val="center"/>
              <w:rPr>
                <w:sz w:val="24"/>
                <w:szCs w:val="24"/>
              </w:rPr>
            </w:pPr>
            <w:r>
              <w:rPr>
                <w:sz w:val="24"/>
                <w:szCs w:val="24"/>
              </w:rPr>
              <w:t>GNAS</w:t>
            </w:r>
          </w:p>
        </w:tc>
        <w:tc>
          <w:tcPr>
            <w:tcW w:w="957" w:type="dxa"/>
          </w:tcPr>
          <w:p w:rsidR="00F95EAB" w:rsidRDefault="00F95EAB" w:rsidP="00F95EAB">
            <w:pPr>
              <w:jc w:val="center"/>
              <w:rPr>
                <w:sz w:val="24"/>
                <w:szCs w:val="24"/>
              </w:rPr>
            </w:pPr>
            <w:r>
              <w:rPr>
                <w:sz w:val="24"/>
                <w:szCs w:val="24"/>
              </w:rPr>
              <w:t>JAK3</w:t>
            </w:r>
          </w:p>
        </w:tc>
        <w:tc>
          <w:tcPr>
            <w:tcW w:w="1046" w:type="dxa"/>
          </w:tcPr>
          <w:p w:rsidR="00F95EAB" w:rsidRDefault="00F95EAB" w:rsidP="00F95EAB">
            <w:pPr>
              <w:jc w:val="center"/>
              <w:rPr>
                <w:sz w:val="24"/>
                <w:szCs w:val="24"/>
              </w:rPr>
            </w:pPr>
            <w:r>
              <w:rPr>
                <w:sz w:val="24"/>
                <w:szCs w:val="24"/>
              </w:rPr>
              <w:t>MYD88</w:t>
            </w:r>
          </w:p>
        </w:tc>
        <w:tc>
          <w:tcPr>
            <w:tcW w:w="1019" w:type="dxa"/>
          </w:tcPr>
          <w:p w:rsidR="00F95EAB" w:rsidRDefault="00F95EAB" w:rsidP="00F95EAB">
            <w:pPr>
              <w:jc w:val="center"/>
              <w:rPr>
                <w:sz w:val="24"/>
                <w:szCs w:val="24"/>
              </w:rPr>
            </w:pPr>
            <w:r>
              <w:rPr>
                <w:sz w:val="24"/>
                <w:szCs w:val="24"/>
              </w:rPr>
              <w:t>PTEN</w:t>
            </w:r>
          </w:p>
        </w:tc>
        <w:tc>
          <w:tcPr>
            <w:tcW w:w="948" w:type="dxa"/>
          </w:tcPr>
          <w:p w:rsidR="00F95EAB" w:rsidRDefault="00F95EAB" w:rsidP="00F95EAB">
            <w:pPr>
              <w:jc w:val="center"/>
              <w:rPr>
                <w:sz w:val="24"/>
                <w:szCs w:val="24"/>
              </w:rPr>
            </w:pPr>
            <w:r>
              <w:rPr>
                <w:sz w:val="24"/>
                <w:szCs w:val="24"/>
              </w:rPr>
              <w:t>SMC1A</w:t>
            </w:r>
          </w:p>
        </w:tc>
        <w:tc>
          <w:tcPr>
            <w:tcW w:w="914" w:type="dxa"/>
          </w:tcPr>
          <w:p w:rsidR="00F95EAB" w:rsidRDefault="00F95EAB" w:rsidP="00F95EAB">
            <w:pPr>
              <w:jc w:val="center"/>
              <w:rPr>
                <w:sz w:val="24"/>
                <w:szCs w:val="24"/>
              </w:rPr>
            </w:pPr>
            <w:r>
              <w:rPr>
                <w:sz w:val="24"/>
                <w:szCs w:val="24"/>
              </w:rPr>
              <w:t>U2AF1</w:t>
            </w:r>
          </w:p>
        </w:tc>
      </w:tr>
      <w:tr w:rsidR="00F95EAB" w:rsidTr="006E0123">
        <w:tc>
          <w:tcPr>
            <w:tcW w:w="987" w:type="dxa"/>
          </w:tcPr>
          <w:p w:rsidR="00F95EAB" w:rsidRDefault="00F95EAB" w:rsidP="00F95EAB">
            <w:pPr>
              <w:jc w:val="center"/>
              <w:rPr>
                <w:sz w:val="24"/>
                <w:szCs w:val="24"/>
              </w:rPr>
            </w:pPr>
            <w:r>
              <w:rPr>
                <w:sz w:val="24"/>
                <w:szCs w:val="24"/>
              </w:rPr>
              <w:t>BCORL1</w:t>
            </w:r>
          </w:p>
        </w:tc>
        <w:tc>
          <w:tcPr>
            <w:tcW w:w="1032" w:type="dxa"/>
          </w:tcPr>
          <w:p w:rsidR="00F95EAB" w:rsidRDefault="00F95EAB" w:rsidP="00F95EAB">
            <w:pPr>
              <w:jc w:val="center"/>
              <w:rPr>
                <w:sz w:val="24"/>
                <w:szCs w:val="24"/>
              </w:rPr>
            </w:pPr>
            <w:r>
              <w:rPr>
                <w:sz w:val="24"/>
                <w:szCs w:val="24"/>
              </w:rPr>
              <w:t>CDKN2A</w:t>
            </w:r>
          </w:p>
        </w:tc>
        <w:tc>
          <w:tcPr>
            <w:tcW w:w="1136" w:type="dxa"/>
          </w:tcPr>
          <w:p w:rsidR="00F95EAB" w:rsidRDefault="00F95EAB" w:rsidP="00F95EAB">
            <w:pPr>
              <w:jc w:val="center"/>
              <w:rPr>
                <w:sz w:val="24"/>
                <w:szCs w:val="24"/>
              </w:rPr>
            </w:pPr>
            <w:r>
              <w:rPr>
                <w:sz w:val="24"/>
                <w:szCs w:val="24"/>
              </w:rPr>
              <w:t>EZH2</w:t>
            </w:r>
          </w:p>
        </w:tc>
        <w:tc>
          <w:tcPr>
            <w:tcW w:w="922" w:type="dxa"/>
          </w:tcPr>
          <w:p w:rsidR="00F95EAB" w:rsidRDefault="00F95EAB" w:rsidP="00F95EAB">
            <w:pPr>
              <w:jc w:val="center"/>
              <w:rPr>
                <w:sz w:val="24"/>
                <w:szCs w:val="24"/>
              </w:rPr>
            </w:pPr>
            <w:r>
              <w:rPr>
                <w:sz w:val="24"/>
                <w:szCs w:val="24"/>
              </w:rPr>
              <w:t>HRAS</w:t>
            </w:r>
          </w:p>
        </w:tc>
        <w:tc>
          <w:tcPr>
            <w:tcW w:w="957" w:type="dxa"/>
          </w:tcPr>
          <w:p w:rsidR="00F95EAB" w:rsidRDefault="00F95EAB" w:rsidP="00F95EAB">
            <w:pPr>
              <w:jc w:val="center"/>
              <w:rPr>
                <w:sz w:val="24"/>
                <w:szCs w:val="24"/>
              </w:rPr>
            </w:pPr>
            <w:r>
              <w:rPr>
                <w:sz w:val="24"/>
                <w:szCs w:val="24"/>
              </w:rPr>
              <w:t>KDM6A</w:t>
            </w:r>
          </w:p>
        </w:tc>
        <w:tc>
          <w:tcPr>
            <w:tcW w:w="1046" w:type="dxa"/>
          </w:tcPr>
          <w:p w:rsidR="00F95EAB" w:rsidRDefault="00F95EAB" w:rsidP="00F95EAB">
            <w:pPr>
              <w:jc w:val="center"/>
              <w:rPr>
                <w:sz w:val="24"/>
                <w:szCs w:val="24"/>
              </w:rPr>
            </w:pPr>
            <w:r>
              <w:rPr>
                <w:sz w:val="24"/>
                <w:szCs w:val="24"/>
              </w:rPr>
              <w:t>NOTCH1</w:t>
            </w:r>
          </w:p>
        </w:tc>
        <w:tc>
          <w:tcPr>
            <w:tcW w:w="1019" w:type="dxa"/>
          </w:tcPr>
          <w:p w:rsidR="00F95EAB" w:rsidRDefault="00F95EAB" w:rsidP="00F95EAB">
            <w:pPr>
              <w:jc w:val="center"/>
              <w:rPr>
                <w:sz w:val="24"/>
                <w:szCs w:val="24"/>
              </w:rPr>
            </w:pPr>
            <w:r>
              <w:rPr>
                <w:sz w:val="24"/>
                <w:szCs w:val="24"/>
              </w:rPr>
              <w:t>PTPN11</w:t>
            </w:r>
          </w:p>
        </w:tc>
        <w:tc>
          <w:tcPr>
            <w:tcW w:w="948" w:type="dxa"/>
          </w:tcPr>
          <w:p w:rsidR="00F95EAB" w:rsidRDefault="00F95EAB" w:rsidP="00F95EAB">
            <w:pPr>
              <w:jc w:val="center"/>
              <w:rPr>
                <w:sz w:val="24"/>
                <w:szCs w:val="24"/>
              </w:rPr>
            </w:pPr>
            <w:r>
              <w:rPr>
                <w:sz w:val="24"/>
                <w:szCs w:val="24"/>
              </w:rPr>
              <w:t>SMC3</w:t>
            </w:r>
          </w:p>
        </w:tc>
        <w:tc>
          <w:tcPr>
            <w:tcW w:w="914" w:type="dxa"/>
          </w:tcPr>
          <w:p w:rsidR="00F95EAB" w:rsidRDefault="00F95EAB" w:rsidP="00F95EAB">
            <w:pPr>
              <w:jc w:val="center"/>
              <w:rPr>
                <w:sz w:val="24"/>
                <w:szCs w:val="24"/>
              </w:rPr>
            </w:pPr>
            <w:r>
              <w:rPr>
                <w:sz w:val="24"/>
                <w:szCs w:val="24"/>
              </w:rPr>
              <w:t>WT1</w:t>
            </w:r>
          </w:p>
        </w:tc>
      </w:tr>
      <w:tr w:rsidR="00F95EAB" w:rsidTr="006E0123">
        <w:tc>
          <w:tcPr>
            <w:tcW w:w="987" w:type="dxa"/>
          </w:tcPr>
          <w:p w:rsidR="00F95EAB" w:rsidRDefault="00F95EAB" w:rsidP="00F95EAB">
            <w:pPr>
              <w:jc w:val="center"/>
              <w:rPr>
                <w:sz w:val="24"/>
                <w:szCs w:val="24"/>
              </w:rPr>
            </w:pPr>
            <w:r>
              <w:rPr>
                <w:sz w:val="24"/>
                <w:szCs w:val="24"/>
              </w:rPr>
              <w:t>BRAF</w:t>
            </w:r>
          </w:p>
        </w:tc>
        <w:tc>
          <w:tcPr>
            <w:tcW w:w="1032" w:type="dxa"/>
          </w:tcPr>
          <w:p w:rsidR="00F95EAB" w:rsidRDefault="00F95EAB" w:rsidP="00F95EAB">
            <w:pPr>
              <w:jc w:val="center"/>
              <w:rPr>
                <w:sz w:val="24"/>
                <w:szCs w:val="24"/>
              </w:rPr>
            </w:pPr>
            <w:r>
              <w:rPr>
                <w:sz w:val="24"/>
                <w:szCs w:val="24"/>
              </w:rPr>
              <w:t>CEBPA</w:t>
            </w:r>
          </w:p>
        </w:tc>
        <w:tc>
          <w:tcPr>
            <w:tcW w:w="1136" w:type="dxa"/>
          </w:tcPr>
          <w:p w:rsidR="00F95EAB" w:rsidRDefault="00F95EAB" w:rsidP="00F95EAB">
            <w:pPr>
              <w:jc w:val="center"/>
              <w:rPr>
                <w:sz w:val="24"/>
                <w:szCs w:val="24"/>
              </w:rPr>
            </w:pPr>
            <w:r>
              <w:rPr>
                <w:sz w:val="24"/>
                <w:szCs w:val="24"/>
              </w:rPr>
              <w:t>FBXW7</w:t>
            </w:r>
          </w:p>
        </w:tc>
        <w:tc>
          <w:tcPr>
            <w:tcW w:w="922" w:type="dxa"/>
          </w:tcPr>
          <w:p w:rsidR="00F95EAB" w:rsidRDefault="00F95EAB" w:rsidP="00F95EAB">
            <w:pPr>
              <w:jc w:val="center"/>
              <w:rPr>
                <w:sz w:val="24"/>
                <w:szCs w:val="24"/>
              </w:rPr>
            </w:pPr>
            <w:r>
              <w:rPr>
                <w:sz w:val="24"/>
                <w:szCs w:val="24"/>
              </w:rPr>
              <w:t>IDH1</w:t>
            </w:r>
          </w:p>
        </w:tc>
        <w:tc>
          <w:tcPr>
            <w:tcW w:w="957" w:type="dxa"/>
          </w:tcPr>
          <w:p w:rsidR="00F95EAB" w:rsidRDefault="00F95EAB" w:rsidP="00F95EAB">
            <w:pPr>
              <w:jc w:val="center"/>
              <w:rPr>
                <w:sz w:val="24"/>
                <w:szCs w:val="24"/>
              </w:rPr>
            </w:pPr>
            <w:r>
              <w:rPr>
                <w:sz w:val="24"/>
                <w:szCs w:val="24"/>
              </w:rPr>
              <w:t>KIT</w:t>
            </w:r>
          </w:p>
        </w:tc>
        <w:tc>
          <w:tcPr>
            <w:tcW w:w="1046" w:type="dxa"/>
          </w:tcPr>
          <w:p w:rsidR="00F95EAB" w:rsidRDefault="00F95EAB" w:rsidP="00F95EAB">
            <w:pPr>
              <w:jc w:val="center"/>
              <w:rPr>
                <w:sz w:val="24"/>
                <w:szCs w:val="24"/>
              </w:rPr>
            </w:pPr>
            <w:r>
              <w:rPr>
                <w:sz w:val="24"/>
                <w:szCs w:val="24"/>
              </w:rPr>
              <w:t>NPM1</w:t>
            </w:r>
          </w:p>
        </w:tc>
        <w:tc>
          <w:tcPr>
            <w:tcW w:w="1019" w:type="dxa"/>
          </w:tcPr>
          <w:p w:rsidR="00F95EAB" w:rsidRDefault="00F95EAB" w:rsidP="00F95EAB">
            <w:pPr>
              <w:jc w:val="center"/>
              <w:rPr>
                <w:sz w:val="24"/>
                <w:szCs w:val="24"/>
              </w:rPr>
            </w:pPr>
            <w:r>
              <w:rPr>
                <w:sz w:val="24"/>
                <w:szCs w:val="24"/>
              </w:rPr>
              <w:t>RAD21</w:t>
            </w:r>
          </w:p>
        </w:tc>
        <w:tc>
          <w:tcPr>
            <w:tcW w:w="948" w:type="dxa"/>
          </w:tcPr>
          <w:p w:rsidR="00F95EAB" w:rsidRDefault="00F95EAB" w:rsidP="00F95EAB">
            <w:pPr>
              <w:jc w:val="center"/>
              <w:rPr>
                <w:sz w:val="24"/>
                <w:szCs w:val="24"/>
              </w:rPr>
            </w:pPr>
            <w:r>
              <w:rPr>
                <w:sz w:val="24"/>
                <w:szCs w:val="24"/>
              </w:rPr>
              <w:t>SRSF2</w:t>
            </w:r>
          </w:p>
        </w:tc>
        <w:tc>
          <w:tcPr>
            <w:tcW w:w="914" w:type="dxa"/>
          </w:tcPr>
          <w:p w:rsidR="00F95EAB" w:rsidRDefault="00F95EAB" w:rsidP="00F95EAB">
            <w:pPr>
              <w:jc w:val="center"/>
              <w:rPr>
                <w:sz w:val="24"/>
                <w:szCs w:val="24"/>
              </w:rPr>
            </w:pPr>
            <w:r>
              <w:rPr>
                <w:sz w:val="24"/>
                <w:szCs w:val="24"/>
              </w:rPr>
              <w:t>ZRSR2</w:t>
            </w:r>
          </w:p>
        </w:tc>
      </w:tr>
    </w:tbl>
    <w:p w:rsidR="00F95EAB" w:rsidRDefault="00F95EAB" w:rsidP="00F95EAB">
      <w:pPr>
        <w:spacing w:line="240" w:lineRule="auto"/>
        <w:rPr>
          <w:sz w:val="24"/>
          <w:szCs w:val="24"/>
        </w:rPr>
      </w:pPr>
      <w:r>
        <w:rPr>
          <w:sz w:val="24"/>
          <w:szCs w:val="24"/>
        </w:rPr>
        <w:t>The test is available in Epic under Genomics Trusight Myeloid Panel (see below) and is approved for peripheral blood or bone marrow specimens collected in EDTA (lavender top tube).  Manual orders on the Bone Marrow Test Request Form will also reflex to this new assay.  Turnaround time for results is 14 days from receipt and will be reported via CoPath and available in Epic.</w:t>
      </w:r>
    </w:p>
    <w:p w:rsidR="00F95EAB" w:rsidRDefault="00F95EAB" w:rsidP="00F95EAB">
      <w:pPr>
        <w:spacing w:line="240" w:lineRule="auto"/>
        <w:rPr>
          <w:sz w:val="24"/>
          <w:szCs w:val="24"/>
        </w:rPr>
      </w:pPr>
      <w:r>
        <w:rPr>
          <w:noProof/>
        </w:rPr>
        <w:drawing>
          <wp:inline distT="0" distB="0" distL="0" distR="0" wp14:anchorId="090A36B3" wp14:editId="67E11E82">
            <wp:extent cx="5468568" cy="2741295"/>
            <wp:effectExtent l="0" t="0" r="0" b="1905"/>
            <wp:docPr id="1" name="Picture 1" descr="cid:image002.png@01D0F45D.53976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0F45D.5397613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468568" cy="2741295"/>
                    </a:xfrm>
                    <a:prstGeom prst="rect">
                      <a:avLst/>
                    </a:prstGeom>
                    <a:noFill/>
                    <a:ln>
                      <a:noFill/>
                    </a:ln>
                  </pic:spPr>
                </pic:pic>
              </a:graphicData>
            </a:graphic>
          </wp:inline>
        </w:drawing>
      </w:r>
    </w:p>
    <w:p w:rsidR="00F95EAB" w:rsidRPr="00F95EAB" w:rsidRDefault="00F95EAB" w:rsidP="00F95EAB">
      <w:pPr>
        <w:spacing w:line="240" w:lineRule="auto"/>
        <w:jc w:val="center"/>
        <w:rPr>
          <w:b/>
          <w:sz w:val="24"/>
          <w:szCs w:val="24"/>
        </w:rPr>
      </w:pPr>
      <w:r w:rsidRPr="00F95EAB">
        <w:rPr>
          <w:b/>
          <w:sz w:val="24"/>
          <w:szCs w:val="24"/>
        </w:rPr>
        <w:lastRenderedPageBreak/>
        <w:t>Chronic Granulomatous Disease (CGD) by Flow Cytometry</w:t>
      </w:r>
    </w:p>
    <w:p w:rsidR="00F95EAB" w:rsidRPr="00F95EAB" w:rsidRDefault="00F95EAB" w:rsidP="00F95EAB">
      <w:pPr>
        <w:spacing w:line="240" w:lineRule="auto"/>
        <w:rPr>
          <w:sz w:val="24"/>
          <w:szCs w:val="24"/>
        </w:rPr>
      </w:pPr>
      <w:r w:rsidRPr="00F95EAB">
        <w:rPr>
          <w:sz w:val="24"/>
          <w:szCs w:val="24"/>
        </w:rPr>
        <w:t xml:space="preserve">The stability of EDTA (purple top) specimens for CGD is up to 4 hours after collection.  Specimens need to be in the Davis Laboratory by 2:00pm in order to be analyzed the same day.   We are unable to accommodate testing after 2:00pm so patients with afternoon clinic appointments will need to be rescheduled or be provided a collection request for another day, preferably in the morning.  </w:t>
      </w:r>
    </w:p>
    <w:p w:rsidR="00F95EAB" w:rsidRPr="00F95EAB" w:rsidRDefault="00F95EAB" w:rsidP="00F95EAB">
      <w:pPr>
        <w:spacing w:line="240" w:lineRule="auto"/>
        <w:jc w:val="center"/>
        <w:rPr>
          <w:sz w:val="24"/>
          <w:szCs w:val="24"/>
        </w:rPr>
      </w:pPr>
      <w:r w:rsidRPr="00F95EAB">
        <w:rPr>
          <w:b/>
          <w:sz w:val="24"/>
          <w:szCs w:val="24"/>
        </w:rPr>
        <w:t>Steroid Testing Discontinued</w:t>
      </w:r>
    </w:p>
    <w:p w:rsidR="00F95EAB" w:rsidRPr="00F95EAB" w:rsidRDefault="00F95EAB" w:rsidP="00F95EAB">
      <w:pPr>
        <w:spacing w:line="240" w:lineRule="auto"/>
        <w:rPr>
          <w:sz w:val="24"/>
          <w:szCs w:val="24"/>
        </w:rPr>
      </w:pPr>
      <w:r w:rsidRPr="00F95EAB">
        <w:rPr>
          <w:sz w:val="24"/>
          <w:szCs w:val="24"/>
        </w:rPr>
        <w:t xml:space="preserve">The Medical Laboratories Toxicology division has discontinued offering anabolic steroid testing as of October 1, 2015.  </w:t>
      </w:r>
    </w:p>
    <w:p w:rsidR="00F95EAB" w:rsidRPr="00F95EAB" w:rsidRDefault="00F95EAB" w:rsidP="00F95EAB">
      <w:pPr>
        <w:spacing w:line="240" w:lineRule="auto"/>
        <w:jc w:val="center"/>
        <w:rPr>
          <w:b/>
          <w:sz w:val="24"/>
          <w:szCs w:val="24"/>
        </w:rPr>
      </w:pPr>
      <w:r w:rsidRPr="00F95EAB">
        <w:rPr>
          <w:b/>
          <w:sz w:val="24"/>
          <w:szCs w:val="24"/>
        </w:rPr>
        <w:t>Change in Reporting Urine Drugs of Abuse Confirmation Results</w:t>
      </w:r>
    </w:p>
    <w:p w:rsidR="00F95EAB" w:rsidRPr="00F95EAB" w:rsidRDefault="00F95EAB" w:rsidP="00F95EAB">
      <w:pPr>
        <w:spacing w:line="240" w:lineRule="auto"/>
        <w:rPr>
          <w:sz w:val="24"/>
          <w:szCs w:val="24"/>
        </w:rPr>
      </w:pPr>
      <w:r w:rsidRPr="00F95EAB">
        <w:rPr>
          <w:sz w:val="24"/>
          <w:szCs w:val="24"/>
        </w:rPr>
        <w:t>Beginning November 1, 2015 the Toxicology Laboratory will report quantitative confirmation results for cannabinoids (THC), benzoylecgonine (cocaine metabolite), methadone and methadone metabolite (EDDP); all other drug confirmation results will continue to be reported    qualitatively until on-going development and validation work has been completed.  Any positive urine drug screen performed by the Toxicology Laboratory is reflexed to confirmation using either gas chromatography- mass spectrometry or liquid chromatography-tandem mass spectrometry.  If the specimen has a concentration equal to or greater than the established drug cutoff concentration it will be reported as a quantitative result with an interpretation of positive.  If the specimen has a concentration less than the established drug cutoff concentration the interpretation will be negative.  Specific drug concentration cutoff values are:</w:t>
      </w:r>
    </w:p>
    <w:p w:rsidR="00F95EAB" w:rsidRPr="00F95EAB" w:rsidRDefault="00F95EAB" w:rsidP="00F95EAB">
      <w:pPr>
        <w:pStyle w:val="ListParagraph"/>
        <w:numPr>
          <w:ilvl w:val="0"/>
          <w:numId w:val="3"/>
        </w:numPr>
        <w:spacing w:line="240" w:lineRule="auto"/>
        <w:rPr>
          <w:sz w:val="24"/>
          <w:szCs w:val="24"/>
        </w:rPr>
      </w:pPr>
      <w:r w:rsidRPr="00F95EAB">
        <w:rPr>
          <w:sz w:val="24"/>
          <w:szCs w:val="24"/>
        </w:rPr>
        <w:t>THC:  &lt;15 ng/mL</w:t>
      </w:r>
    </w:p>
    <w:p w:rsidR="00F95EAB" w:rsidRPr="00F95EAB" w:rsidRDefault="00F95EAB" w:rsidP="00F95EAB">
      <w:pPr>
        <w:pStyle w:val="ListParagraph"/>
        <w:numPr>
          <w:ilvl w:val="0"/>
          <w:numId w:val="3"/>
        </w:numPr>
        <w:spacing w:line="240" w:lineRule="auto"/>
        <w:rPr>
          <w:sz w:val="24"/>
          <w:szCs w:val="24"/>
        </w:rPr>
      </w:pPr>
      <w:r w:rsidRPr="00F95EAB">
        <w:rPr>
          <w:sz w:val="24"/>
          <w:szCs w:val="24"/>
        </w:rPr>
        <w:t>Cocaine:  &lt;50 ng/mL</w:t>
      </w:r>
    </w:p>
    <w:p w:rsidR="00F95EAB" w:rsidRPr="00F95EAB" w:rsidRDefault="00F95EAB" w:rsidP="00F95EAB">
      <w:pPr>
        <w:pStyle w:val="ListParagraph"/>
        <w:numPr>
          <w:ilvl w:val="0"/>
          <w:numId w:val="3"/>
        </w:numPr>
        <w:spacing w:line="240" w:lineRule="auto"/>
        <w:rPr>
          <w:sz w:val="24"/>
          <w:szCs w:val="24"/>
        </w:rPr>
      </w:pPr>
      <w:r w:rsidRPr="00F95EAB">
        <w:rPr>
          <w:sz w:val="24"/>
          <w:szCs w:val="24"/>
        </w:rPr>
        <w:t>Methadone:  &lt;100 ng/mL</w:t>
      </w:r>
    </w:p>
    <w:p w:rsidR="00F95EAB" w:rsidRPr="00F95EAB" w:rsidRDefault="00F95EAB" w:rsidP="00F95EAB">
      <w:pPr>
        <w:pStyle w:val="ListParagraph"/>
        <w:numPr>
          <w:ilvl w:val="0"/>
          <w:numId w:val="3"/>
        </w:numPr>
        <w:spacing w:line="240" w:lineRule="auto"/>
        <w:rPr>
          <w:sz w:val="24"/>
          <w:szCs w:val="24"/>
        </w:rPr>
      </w:pPr>
      <w:r w:rsidRPr="00F95EAB">
        <w:rPr>
          <w:sz w:val="24"/>
          <w:szCs w:val="24"/>
        </w:rPr>
        <w:t>Methadone Metabolite:  &lt;100 ng/mL</w:t>
      </w:r>
    </w:p>
    <w:p w:rsidR="00F95EAB" w:rsidRPr="00F95EAB" w:rsidRDefault="00F95EAB" w:rsidP="00F95EAB">
      <w:pPr>
        <w:spacing w:line="240" w:lineRule="auto"/>
        <w:rPr>
          <w:sz w:val="24"/>
          <w:szCs w:val="24"/>
        </w:rPr>
      </w:pPr>
      <w:r w:rsidRPr="00F95EAB">
        <w:rPr>
          <w:sz w:val="24"/>
          <w:szCs w:val="24"/>
        </w:rPr>
        <w:t xml:space="preserve">Please note:  specimens with a positive urine drug screen result are reported with the comment </w:t>
      </w:r>
      <w:r w:rsidRPr="00F95EAB">
        <w:rPr>
          <w:b/>
          <w:sz w:val="24"/>
          <w:szCs w:val="24"/>
        </w:rPr>
        <w:t>Refer to Confirmation Result</w:t>
      </w:r>
      <w:r w:rsidRPr="00F95EAB">
        <w:rPr>
          <w:sz w:val="24"/>
          <w:szCs w:val="24"/>
        </w:rPr>
        <w:t xml:space="preserve"> and therefore should not be acted upon until the confirmation is verified.  Please contact the Toxicology Laboratory Director, Lindsay Bazydlo, Ph.D., if you have any questions.   </w:t>
      </w:r>
    </w:p>
    <w:p w:rsidR="00F95EAB" w:rsidRPr="00F95EAB" w:rsidRDefault="00F95EAB" w:rsidP="00F95EAB">
      <w:pPr>
        <w:spacing w:line="240" w:lineRule="auto"/>
        <w:jc w:val="center"/>
        <w:rPr>
          <w:b/>
          <w:sz w:val="24"/>
          <w:szCs w:val="24"/>
        </w:rPr>
      </w:pPr>
      <w:r w:rsidRPr="00F95EAB">
        <w:rPr>
          <w:b/>
          <w:sz w:val="24"/>
          <w:szCs w:val="24"/>
        </w:rPr>
        <w:t>Urine Drugs of Abuse Screening</w:t>
      </w:r>
    </w:p>
    <w:p w:rsidR="00F95EAB" w:rsidRPr="00F95EAB" w:rsidRDefault="00F95EAB" w:rsidP="00F95EAB">
      <w:pPr>
        <w:spacing w:line="240" w:lineRule="auto"/>
        <w:rPr>
          <w:rFonts w:ascii="Calibri" w:eastAsia="Times New Roman" w:hAnsi="Calibri"/>
          <w:color w:val="000000"/>
          <w:sz w:val="24"/>
          <w:szCs w:val="24"/>
        </w:rPr>
      </w:pPr>
      <w:r w:rsidRPr="00F95EAB">
        <w:rPr>
          <w:rFonts w:ascii="Calibri" w:eastAsia="Times New Roman" w:hAnsi="Calibri"/>
          <w:color w:val="000000"/>
          <w:sz w:val="24"/>
          <w:szCs w:val="24"/>
        </w:rPr>
        <w:t>The Urine Drugs of Abuse screen performed in the Toxicology Lab reports qualitative results for several drug classes with positive results reflexed to confirmation.  There are limitations in what drugs can be detected by screen.</w:t>
      </w:r>
    </w:p>
    <w:p w:rsidR="00F95EAB" w:rsidRPr="00F95EAB" w:rsidRDefault="00F95EAB" w:rsidP="00F95EAB">
      <w:pPr>
        <w:pStyle w:val="ListParagraph"/>
        <w:numPr>
          <w:ilvl w:val="0"/>
          <w:numId w:val="1"/>
        </w:numPr>
        <w:spacing w:line="240" w:lineRule="auto"/>
        <w:rPr>
          <w:rFonts w:ascii="Calibri" w:eastAsia="Times New Roman" w:hAnsi="Calibri"/>
          <w:color w:val="000000"/>
          <w:sz w:val="24"/>
          <w:szCs w:val="24"/>
        </w:rPr>
      </w:pPr>
      <w:r w:rsidRPr="00F95EAB">
        <w:rPr>
          <w:rFonts w:ascii="Calibri" w:eastAsia="Times New Roman" w:hAnsi="Calibri"/>
          <w:color w:val="000000"/>
          <w:sz w:val="24"/>
          <w:szCs w:val="24"/>
        </w:rPr>
        <w:t>Benzodiazepine:   Negative results can be seen with patients taking clonazepam (klonopin), lorazepam (ativan) and midazolam.</w:t>
      </w:r>
    </w:p>
    <w:p w:rsidR="00F95EAB" w:rsidRPr="00F95EAB" w:rsidRDefault="00F95EAB" w:rsidP="00F95EAB">
      <w:pPr>
        <w:pStyle w:val="ListParagraph"/>
        <w:numPr>
          <w:ilvl w:val="0"/>
          <w:numId w:val="1"/>
        </w:numPr>
        <w:spacing w:line="240" w:lineRule="auto"/>
        <w:rPr>
          <w:rFonts w:ascii="Calibri" w:eastAsia="Times New Roman" w:hAnsi="Calibri"/>
          <w:color w:val="000000"/>
          <w:sz w:val="24"/>
          <w:szCs w:val="24"/>
        </w:rPr>
      </w:pPr>
      <w:r w:rsidRPr="00F95EAB">
        <w:rPr>
          <w:rFonts w:ascii="Calibri" w:eastAsia="Times New Roman" w:hAnsi="Calibri"/>
          <w:color w:val="000000"/>
          <w:sz w:val="24"/>
          <w:szCs w:val="24"/>
        </w:rPr>
        <w:t>Opiates:     Negative results can be seen with patients taking hydrocodone (vicodin, lortab, norco) and hydromorphone (dilaudid). </w:t>
      </w:r>
    </w:p>
    <w:p w:rsidR="00F95EAB" w:rsidRPr="00F95EAB" w:rsidRDefault="00F95EAB" w:rsidP="00F95EAB">
      <w:pPr>
        <w:pStyle w:val="ListParagraph"/>
        <w:numPr>
          <w:ilvl w:val="0"/>
          <w:numId w:val="1"/>
        </w:numPr>
        <w:spacing w:line="240" w:lineRule="auto"/>
        <w:rPr>
          <w:rFonts w:ascii="Calibri" w:eastAsia="Times New Roman" w:hAnsi="Calibri"/>
          <w:color w:val="000000"/>
          <w:sz w:val="24"/>
          <w:szCs w:val="24"/>
        </w:rPr>
      </w:pPr>
      <w:r w:rsidRPr="00F95EAB">
        <w:rPr>
          <w:rFonts w:ascii="Calibri" w:eastAsia="Times New Roman" w:hAnsi="Calibri"/>
          <w:color w:val="000000"/>
          <w:sz w:val="24"/>
          <w:szCs w:val="24"/>
        </w:rPr>
        <w:t>Opiates:   Positive results can be seen with patients taking oxycodone (oxycontin, roxicodone).</w:t>
      </w:r>
    </w:p>
    <w:p w:rsidR="00F95EAB" w:rsidRDefault="00F95EAB" w:rsidP="00561253">
      <w:pPr>
        <w:spacing w:line="240" w:lineRule="auto"/>
        <w:jc w:val="center"/>
        <w:rPr>
          <w:rFonts w:ascii="Calibri" w:hAnsi="Calibri"/>
          <w:snapToGrid w:val="0"/>
          <w:sz w:val="24"/>
          <w:szCs w:val="24"/>
        </w:rPr>
      </w:pPr>
      <w:r>
        <w:rPr>
          <w:rFonts w:ascii="Calibri" w:hAnsi="Calibri"/>
          <w:b/>
          <w:snapToGrid w:val="0"/>
          <w:sz w:val="24"/>
          <w:szCs w:val="24"/>
        </w:rPr>
        <w:lastRenderedPageBreak/>
        <w:t>In House Serum Viscosity Testing Discontinued</w:t>
      </w:r>
    </w:p>
    <w:p w:rsidR="00361FAC" w:rsidRPr="00361FAC" w:rsidRDefault="00361FAC" w:rsidP="00361FAC">
      <w:pPr>
        <w:spacing w:line="240" w:lineRule="auto"/>
        <w:rPr>
          <w:sz w:val="24"/>
          <w:szCs w:val="24"/>
        </w:rPr>
      </w:pPr>
      <w:r w:rsidRPr="00361FAC">
        <w:rPr>
          <w:noProof/>
          <w:sz w:val="24"/>
          <w:szCs w:val="24"/>
        </w:rPr>
        <w:drawing>
          <wp:anchor distT="0" distB="0" distL="114300" distR="114300" simplePos="0" relativeHeight="251659264" behindDoc="0" locked="0" layoutInCell="1" allowOverlap="1" wp14:anchorId="2F6340EE" wp14:editId="0DBEBE75">
            <wp:simplePos x="0" y="0"/>
            <wp:positionH relativeFrom="column">
              <wp:posOffset>3886200</wp:posOffset>
            </wp:positionH>
            <wp:positionV relativeFrom="paragraph">
              <wp:posOffset>602615</wp:posOffset>
            </wp:positionV>
            <wp:extent cx="2011045" cy="3543300"/>
            <wp:effectExtent l="0" t="0" r="0" b="12700"/>
            <wp:wrapThrough wrapText="bothSides">
              <wp:wrapPolygon edited="0">
                <wp:start x="0" y="0"/>
                <wp:lineTo x="0" y="21523"/>
                <wp:lineTo x="21279" y="21523"/>
                <wp:lineTo x="21279"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11045" cy="3543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1FAC">
        <w:rPr>
          <w:sz w:val="24"/>
          <w:szCs w:val="24"/>
        </w:rPr>
        <w:t xml:space="preserve">Since 1974, the Blood Bank has been using a manual technique to perform serum viscosity. The supplies required for this testing are no longer commercially available, and the laboratory will soon be unable to support this assay with current equipment. </w:t>
      </w:r>
    </w:p>
    <w:p w:rsidR="00361FAC" w:rsidRPr="00361FAC" w:rsidRDefault="00361FAC" w:rsidP="00361FAC">
      <w:pPr>
        <w:spacing w:line="240" w:lineRule="auto"/>
        <w:rPr>
          <w:sz w:val="24"/>
          <w:szCs w:val="24"/>
        </w:rPr>
      </w:pPr>
      <w:r w:rsidRPr="00361FAC">
        <w:rPr>
          <w:sz w:val="24"/>
          <w:szCs w:val="24"/>
        </w:rPr>
        <w:t>The serum viscosity is one factor that goes into the clinical decision to initiate plasma exchange (PLEX) for patients with Waldenstrom’s Macroglobulinemia (WM) who present with acute symptoms of hyperviscosity, due to high levels of serum immunoglobulin, which are almost always of the IgM subtype. Other criteria used to make the decision to initiate PLEX in WM include serum IgM levels, and clinical symptoms.</w:t>
      </w:r>
    </w:p>
    <w:p w:rsidR="00361FAC" w:rsidRPr="00361FAC" w:rsidRDefault="00361FAC" w:rsidP="00361FAC">
      <w:pPr>
        <w:spacing w:line="240" w:lineRule="auto"/>
        <w:rPr>
          <w:sz w:val="24"/>
          <w:szCs w:val="24"/>
        </w:rPr>
      </w:pPr>
      <w:r w:rsidRPr="00361FAC">
        <w:rPr>
          <w:sz w:val="24"/>
          <w:szCs w:val="24"/>
        </w:rPr>
        <w:t>Data from our own laboratories, collected over the last two years, show that there is a strong correlation between serum IgM and serum viscosity values (see graph) in WM, such that the two laboratory measurements could perhaps be used interchangeably in the context of WM and PLEX.</w:t>
      </w:r>
    </w:p>
    <w:p w:rsidR="00361FAC" w:rsidRPr="00361FAC" w:rsidRDefault="00361FAC" w:rsidP="00361FAC">
      <w:pPr>
        <w:spacing w:line="240" w:lineRule="auto"/>
        <w:rPr>
          <w:sz w:val="24"/>
          <w:szCs w:val="24"/>
        </w:rPr>
      </w:pPr>
      <w:r w:rsidRPr="00361FAC">
        <w:rPr>
          <w:sz w:val="24"/>
          <w:szCs w:val="24"/>
        </w:rPr>
        <w:t xml:space="preserve">At a recent Hematology/Oncology Tumor Board Meeting, Dr. Gorham presented the concerns about the current UVA serum viscosity assay, and suggested the possibility that clinicians use the IgM serum level as the primary laboratory test, along with symptoms, to initiate plasma exchange. </w:t>
      </w:r>
    </w:p>
    <w:p w:rsidR="00361FAC" w:rsidRPr="00361FAC" w:rsidRDefault="00361FAC" w:rsidP="00361FAC">
      <w:pPr>
        <w:spacing w:line="240" w:lineRule="auto"/>
        <w:rPr>
          <w:sz w:val="24"/>
          <w:szCs w:val="24"/>
        </w:rPr>
      </w:pPr>
      <w:r w:rsidRPr="00361FAC">
        <w:rPr>
          <w:sz w:val="24"/>
          <w:szCs w:val="24"/>
        </w:rPr>
        <w:t>The Heme/Onc physicians agreed to the discontinuation of the serum viscosity assay at UVA.  While serum viscosity will not be routinely ordered, if it is needed, the test can be ordered as a send-out through Mayo Laboratories, with a turnaround time of two business days.</w:t>
      </w:r>
    </w:p>
    <w:p w:rsidR="00F95EAB" w:rsidRDefault="00F95EAB" w:rsidP="00561253">
      <w:pPr>
        <w:spacing w:line="240" w:lineRule="auto"/>
        <w:jc w:val="center"/>
        <w:rPr>
          <w:rFonts w:ascii="Calibri" w:hAnsi="Calibri"/>
          <w:snapToGrid w:val="0"/>
          <w:sz w:val="24"/>
          <w:szCs w:val="24"/>
        </w:rPr>
      </w:pPr>
    </w:p>
    <w:p w:rsidR="00D4016A" w:rsidRDefault="00D4016A" w:rsidP="00561253">
      <w:pPr>
        <w:spacing w:line="240" w:lineRule="auto"/>
        <w:jc w:val="center"/>
        <w:rPr>
          <w:rFonts w:ascii="Calibri" w:hAnsi="Calibri"/>
          <w:snapToGrid w:val="0"/>
          <w:sz w:val="24"/>
          <w:szCs w:val="24"/>
        </w:rPr>
      </w:pPr>
      <w:r>
        <w:rPr>
          <w:rFonts w:ascii="Calibri" w:hAnsi="Calibri"/>
          <w:b/>
          <w:snapToGrid w:val="0"/>
          <w:sz w:val="24"/>
          <w:szCs w:val="24"/>
        </w:rPr>
        <w:t>Availability of Unrestricted Flu Testing</w:t>
      </w:r>
    </w:p>
    <w:p w:rsidR="00D4016A" w:rsidRPr="00D4016A" w:rsidRDefault="00D4016A" w:rsidP="00D40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D4016A">
        <w:rPr>
          <w:rFonts w:eastAsia="Times New Roman" w:cs="Courier New"/>
          <w:sz w:val="24"/>
          <w:szCs w:val="24"/>
        </w:rPr>
        <w:t xml:space="preserve">The Clinical Microbiology Laboratory will begin offering unrestricted influenza testing by rapid PCR on October 28, 2015.  Until that time, approval for testing can be requested by contacting the Clinical Microbiology director on call at PIC 1221.  </w:t>
      </w:r>
    </w:p>
    <w:p w:rsidR="00D4016A" w:rsidRPr="00D4016A" w:rsidRDefault="00D4016A" w:rsidP="00D4016A">
      <w:pPr>
        <w:spacing w:line="240" w:lineRule="auto"/>
        <w:rPr>
          <w:snapToGrid w:val="0"/>
          <w:sz w:val="24"/>
          <w:szCs w:val="24"/>
        </w:rPr>
      </w:pPr>
    </w:p>
    <w:sectPr w:rsidR="00D4016A" w:rsidRPr="00D4016A" w:rsidSect="00561253">
      <w:footerReference w:type="default" r:id="rId11"/>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72ED" w:rsidRDefault="002972ED" w:rsidP="007C6D25">
      <w:pPr>
        <w:spacing w:after="0" w:line="240" w:lineRule="auto"/>
      </w:pPr>
      <w:r>
        <w:separator/>
      </w:r>
    </w:p>
  </w:endnote>
  <w:endnote w:type="continuationSeparator" w:id="0">
    <w:p w:rsidR="002972ED" w:rsidRDefault="002972ED" w:rsidP="007C6D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6660029"/>
      <w:docPartObj>
        <w:docPartGallery w:val="Page Numbers (Bottom of Page)"/>
        <w:docPartUnique/>
      </w:docPartObj>
    </w:sdtPr>
    <w:sdtEndPr/>
    <w:sdtContent>
      <w:sdt>
        <w:sdtPr>
          <w:id w:val="98381352"/>
          <w:docPartObj>
            <w:docPartGallery w:val="Page Numbers (Top of Page)"/>
            <w:docPartUnique/>
          </w:docPartObj>
        </w:sdtPr>
        <w:sdtEndPr/>
        <w:sdtContent>
          <w:p w:rsidR="00EA02FF" w:rsidRDefault="00EA02FF" w:rsidP="00EA02FF">
            <w:pPr>
              <w:pStyle w:val="Footer"/>
              <w:jc w:val="center"/>
            </w:pPr>
            <w:r w:rsidRPr="00EA02FF">
              <w:t xml:space="preserve">Page </w:t>
            </w:r>
            <w:r w:rsidRPr="00EA02FF">
              <w:rPr>
                <w:bCs/>
                <w:sz w:val="24"/>
                <w:szCs w:val="24"/>
              </w:rPr>
              <w:fldChar w:fldCharType="begin"/>
            </w:r>
            <w:r w:rsidRPr="00EA02FF">
              <w:rPr>
                <w:bCs/>
              </w:rPr>
              <w:instrText xml:space="preserve"> PAGE </w:instrText>
            </w:r>
            <w:r w:rsidRPr="00EA02FF">
              <w:rPr>
                <w:bCs/>
                <w:sz w:val="24"/>
                <w:szCs w:val="24"/>
              </w:rPr>
              <w:fldChar w:fldCharType="separate"/>
            </w:r>
            <w:r w:rsidR="007F1ED6">
              <w:rPr>
                <w:bCs/>
                <w:noProof/>
              </w:rPr>
              <w:t>1</w:t>
            </w:r>
            <w:r w:rsidRPr="00EA02FF">
              <w:rPr>
                <w:bCs/>
                <w:sz w:val="24"/>
                <w:szCs w:val="24"/>
              </w:rPr>
              <w:fldChar w:fldCharType="end"/>
            </w:r>
            <w:r w:rsidRPr="00EA02FF">
              <w:t xml:space="preserve"> of </w:t>
            </w:r>
            <w:r w:rsidRPr="00EA02FF">
              <w:rPr>
                <w:bCs/>
                <w:sz w:val="24"/>
                <w:szCs w:val="24"/>
              </w:rPr>
              <w:fldChar w:fldCharType="begin"/>
            </w:r>
            <w:r w:rsidRPr="00EA02FF">
              <w:rPr>
                <w:bCs/>
              </w:rPr>
              <w:instrText xml:space="preserve"> NUMPAGES  </w:instrText>
            </w:r>
            <w:r w:rsidRPr="00EA02FF">
              <w:rPr>
                <w:bCs/>
                <w:sz w:val="24"/>
                <w:szCs w:val="24"/>
              </w:rPr>
              <w:fldChar w:fldCharType="separate"/>
            </w:r>
            <w:r w:rsidR="007F1ED6">
              <w:rPr>
                <w:bCs/>
                <w:noProof/>
              </w:rPr>
              <w:t>3</w:t>
            </w:r>
            <w:r w:rsidRPr="00EA02FF">
              <w:rPr>
                <w:bCs/>
                <w:sz w:val="24"/>
                <w:szCs w:val="24"/>
              </w:rPr>
              <w:fldChar w:fldCharType="end"/>
            </w:r>
          </w:p>
        </w:sdtContent>
      </w:sdt>
    </w:sdtContent>
  </w:sdt>
  <w:p w:rsidR="00EA02FF" w:rsidRDefault="00EA02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72ED" w:rsidRDefault="002972ED" w:rsidP="007C6D25">
      <w:pPr>
        <w:spacing w:after="0" w:line="240" w:lineRule="auto"/>
      </w:pPr>
      <w:r>
        <w:separator/>
      </w:r>
    </w:p>
  </w:footnote>
  <w:footnote w:type="continuationSeparator" w:id="0">
    <w:p w:rsidR="002972ED" w:rsidRDefault="002972ED" w:rsidP="007C6D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C32D94"/>
    <w:multiLevelType w:val="hybridMultilevel"/>
    <w:tmpl w:val="84FC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9264364"/>
    <w:multiLevelType w:val="hybridMultilevel"/>
    <w:tmpl w:val="45F42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6CB4649"/>
    <w:multiLevelType w:val="hybridMultilevel"/>
    <w:tmpl w:val="54E8D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576"/>
    <w:rsid w:val="00046E5D"/>
    <w:rsid w:val="001260EB"/>
    <w:rsid w:val="001B09E8"/>
    <w:rsid w:val="00200631"/>
    <w:rsid w:val="0022361C"/>
    <w:rsid w:val="002972ED"/>
    <w:rsid w:val="002976EA"/>
    <w:rsid w:val="00342429"/>
    <w:rsid w:val="00361FAC"/>
    <w:rsid w:val="003D32A6"/>
    <w:rsid w:val="00471C7D"/>
    <w:rsid w:val="00484088"/>
    <w:rsid w:val="00487576"/>
    <w:rsid w:val="004B7ED0"/>
    <w:rsid w:val="005236FF"/>
    <w:rsid w:val="00561253"/>
    <w:rsid w:val="005E2ED3"/>
    <w:rsid w:val="005F6E5C"/>
    <w:rsid w:val="006146E5"/>
    <w:rsid w:val="00644148"/>
    <w:rsid w:val="007C6D25"/>
    <w:rsid w:val="007F1ED6"/>
    <w:rsid w:val="008D10B8"/>
    <w:rsid w:val="00C26ECC"/>
    <w:rsid w:val="00C70544"/>
    <w:rsid w:val="00D4016A"/>
    <w:rsid w:val="00DE379C"/>
    <w:rsid w:val="00E7053A"/>
    <w:rsid w:val="00E832F0"/>
    <w:rsid w:val="00E86880"/>
    <w:rsid w:val="00EA02FF"/>
    <w:rsid w:val="00EC15A9"/>
    <w:rsid w:val="00F95EAB"/>
    <w:rsid w:val="00FB3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976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71C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1C7D"/>
    <w:rPr>
      <w:rFonts w:ascii="Tahoma" w:hAnsi="Tahoma" w:cs="Tahoma"/>
      <w:sz w:val="16"/>
      <w:szCs w:val="16"/>
    </w:rPr>
  </w:style>
  <w:style w:type="paragraph" w:styleId="Header">
    <w:name w:val="header"/>
    <w:basedOn w:val="Normal"/>
    <w:link w:val="HeaderChar"/>
    <w:uiPriority w:val="99"/>
    <w:unhideWhenUsed/>
    <w:rsid w:val="007C6D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6D25"/>
  </w:style>
  <w:style w:type="paragraph" w:styleId="Footer">
    <w:name w:val="footer"/>
    <w:basedOn w:val="Normal"/>
    <w:link w:val="FooterChar"/>
    <w:uiPriority w:val="99"/>
    <w:unhideWhenUsed/>
    <w:rsid w:val="007C6D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6D25"/>
  </w:style>
  <w:style w:type="paragraph" w:styleId="NoSpacing">
    <w:name w:val="No Spacing"/>
    <w:uiPriority w:val="99"/>
    <w:qFormat/>
    <w:rsid w:val="00561253"/>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EA02FF"/>
    <w:pPr>
      <w:ind w:left="720"/>
      <w:contextualSpacing/>
    </w:pPr>
  </w:style>
  <w:style w:type="paragraph" w:styleId="HTMLPreformatted">
    <w:name w:val="HTML Preformatted"/>
    <w:basedOn w:val="Normal"/>
    <w:link w:val="HTMLPreformattedChar"/>
    <w:uiPriority w:val="99"/>
    <w:semiHidden/>
    <w:unhideWhenUsed/>
    <w:rsid w:val="00D40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4016A"/>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976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71C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1C7D"/>
    <w:rPr>
      <w:rFonts w:ascii="Tahoma" w:hAnsi="Tahoma" w:cs="Tahoma"/>
      <w:sz w:val="16"/>
      <w:szCs w:val="16"/>
    </w:rPr>
  </w:style>
  <w:style w:type="paragraph" w:styleId="Header">
    <w:name w:val="header"/>
    <w:basedOn w:val="Normal"/>
    <w:link w:val="HeaderChar"/>
    <w:uiPriority w:val="99"/>
    <w:unhideWhenUsed/>
    <w:rsid w:val="007C6D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6D25"/>
  </w:style>
  <w:style w:type="paragraph" w:styleId="Footer">
    <w:name w:val="footer"/>
    <w:basedOn w:val="Normal"/>
    <w:link w:val="FooterChar"/>
    <w:uiPriority w:val="99"/>
    <w:unhideWhenUsed/>
    <w:rsid w:val="007C6D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6D25"/>
  </w:style>
  <w:style w:type="paragraph" w:styleId="NoSpacing">
    <w:name w:val="No Spacing"/>
    <w:uiPriority w:val="99"/>
    <w:qFormat/>
    <w:rsid w:val="00561253"/>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EA02FF"/>
    <w:pPr>
      <w:ind w:left="720"/>
      <w:contextualSpacing/>
    </w:pPr>
  </w:style>
  <w:style w:type="paragraph" w:styleId="HTMLPreformatted">
    <w:name w:val="HTML Preformatted"/>
    <w:basedOn w:val="Normal"/>
    <w:link w:val="HTMLPreformattedChar"/>
    <w:uiPriority w:val="99"/>
    <w:semiHidden/>
    <w:unhideWhenUsed/>
    <w:rsid w:val="00D40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4016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565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cid:image002.png@01D0F45D.539761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898</Words>
  <Characters>5124</Characters>
  <Application>Microsoft Office Word</Application>
  <DocSecurity>4</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6010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Oliveira, Walter *HS</dc:creator>
  <cp:lastModifiedBy>Pannell, Christy W *HS</cp:lastModifiedBy>
  <cp:revision>2</cp:revision>
  <cp:lastPrinted>2015-10-20T10:01:00Z</cp:lastPrinted>
  <dcterms:created xsi:type="dcterms:W3CDTF">2015-10-22T21:07:00Z</dcterms:created>
  <dcterms:modified xsi:type="dcterms:W3CDTF">2015-10-22T21:07:00Z</dcterms:modified>
</cp:coreProperties>
</file>