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40" w:rsidRPr="0043707F" w:rsidRDefault="00F36B40" w:rsidP="00F36B40">
      <w:pPr>
        <w:pStyle w:val="NoSpacing"/>
        <w:jc w:val="center"/>
        <w:outlineLvl w:val="0"/>
        <w:rPr>
          <w:rFonts w:ascii="Calibri" w:hAnsi="Calibri"/>
          <w:sz w:val="28"/>
          <w:szCs w:val="28"/>
        </w:rPr>
      </w:pPr>
      <w:r w:rsidRPr="0043707F">
        <w:rPr>
          <w:rFonts w:ascii="Calibri" w:hAnsi="Calibri"/>
          <w:sz w:val="28"/>
          <w:szCs w:val="28"/>
        </w:rPr>
        <w:t>University of Virginia Health System</w:t>
      </w:r>
    </w:p>
    <w:p w:rsidR="00F36B40" w:rsidRPr="0043707F" w:rsidRDefault="00F36B40" w:rsidP="00F36B40">
      <w:pPr>
        <w:pStyle w:val="NoSpacing"/>
        <w:jc w:val="center"/>
        <w:outlineLvl w:val="0"/>
        <w:rPr>
          <w:rFonts w:ascii="Calibri" w:hAnsi="Calibri"/>
          <w:b/>
          <w:snapToGrid w:val="0"/>
          <w:sz w:val="28"/>
          <w:szCs w:val="28"/>
        </w:rPr>
      </w:pPr>
      <w:r w:rsidRPr="0043707F">
        <w:rPr>
          <w:rFonts w:ascii="Calibri" w:hAnsi="Calibri"/>
          <w:b/>
          <w:snapToGrid w:val="0"/>
          <w:sz w:val="28"/>
          <w:szCs w:val="28"/>
        </w:rPr>
        <w:t>Medical Laboratories</w:t>
      </w:r>
    </w:p>
    <w:p w:rsidR="00F36B40" w:rsidRPr="0043707F" w:rsidRDefault="00F36B40" w:rsidP="00F36B40">
      <w:pPr>
        <w:pStyle w:val="NoSpacing"/>
        <w:jc w:val="center"/>
        <w:outlineLvl w:val="0"/>
        <w:rPr>
          <w:rFonts w:ascii="Calibri" w:hAnsi="Calibri"/>
          <w:b/>
          <w:i/>
          <w:snapToGrid w:val="0"/>
          <w:sz w:val="28"/>
          <w:szCs w:val="28"/>
        </w:rPr>
      </w:pPr>
      <w:r w:rsidRPr="0043707F">
        <w:rPr>
          <w:rFonts w:ascii="Calibri" w:hAnsi="Calibri"/>
          <w:b/>
          <w:i/>
          <w:snapToGrid w:val="0"/>
          <w:sz w:val="28"/>
          <w:szCs w:val="28"/>
        </w:rPr>
        <w:t>“Quality You Expect, Service You Deserve”</w:t>
      </w:r>
    </w:p>
    <w:p w:rsidR="00F36B40" w:rsidRPr="0043707F" w:rsidRDefault="00F36B40" w:rsidP="00F36B40">
      <w:pPr>
        <w:pStyle w:val="NoSpacing"/>
        <w:jc w:val="center"/>
        <w:rPr>
          <w:rFonts w:ascii="Calibri" w:hAnsi="Calibri"/>
          <w:b/>
          <w:i/>
          <w:snapToGrid w:val="0"/>
        </w:rPr>
      </w:pPr>
    </w:p>
    <w:p w:rsidR="00F36B40" w:rsidRPr="0043707F" w:rsidRDefault="00F36B40" w:rsidP="00F36B40">
      <w:pPr>
        <w:keepNext/>
        <w:widowControl w:val="0"/>
        <w:jc w:val="center"/>
        <w:outlineLvl w:val="0"/>
        <w:rPr>
          <w:rFonts w:ascii="Calibri" w:hAnsi="Calibri"/>
          <w:b/>
          <w:i/>
          <w:snapToGrid w:val="0"/>
          <w:sz w:val="28"/>
          <w:szCs w:val="28"/>
          <w:u w:val="single"/>
        </w:rPr>
      </w:pPr>
      <w:r w:rsidRPr="0043707F">
        <w:rPr>
          <w:rFonts w:ascii="Calibri" w:hAnsi="Calibri"/>
          <w:b/>
          <w:i/>
          <w:snapToGrid w:val="0"/>
          <w:sz w:val="28"/>
          <w:szCs w:val="28"/>
          <w:u w:val="single"/>
        </w:rPr>
        <w:t>LABORATORY MEDICINE UPDATE</w:t>
      </w:r>
    </w:p>
    <w:p w:rsidR="00F36B40" w:rsidRPr="0043707F" w:rsidRDefault="00F36B40" w:rsidP="00F36B40">
      <w:pPr>
        <w:jc w:val="center"/>
        <w:rPr>
          <w:rFonts w:ascii="Calibri" w:hAnsi="Calibri"/>
          <w:snapToGrid w:val="0"/>
          <w:sz w:val="28"/>
          <w:szCs w:val="28"/>
          <w:u w:val="single"/>
        </w:rPr>
      </w:pPr>
      <w:r>
        <w:rPr>
          <w:rFonts w:ascii="Calibri" w:hAnsi="Calibri"/>
          <w:snapToGrid w:val="0"/>
          <w:sz w:val="28"/>
          <w:szCs w:val="28"/>
          <w:u w:val="single"/>
        </w:rPr>
        <w:t>May 28</w:t>
      </w:r>
      <w:r w:rsidRPr="0043707F">
        <w:rPr>
          <w:rFonts w:ascii="Calibri" w:hAnsi="Calibri"/>
          <w:snapToGrid w:val="0"/>
          <w:sz w:val="28"/>
          <w:szCs w:val="28"/>
          <w:u w:val="single"/>
        </w:rPr>
        <w:t>, 201</w:t>
      </w:r>
      <w:r>
        <w:rPr>
          <w:rFonts w:ascii="Calibri" w:hAnsi="Calibri"/>
          <w:snapToGrid w:val="0"/>
          <w:sz w:val="28"/>
          <w:szCs w:val="28"/>
          <w:u w:val="single"/>
        </w:rPr>
        <w:t>5</w:t>
      </w:r>
    </w:p>
    <w:p w:rsidR="00DF2476" w:rsidRPr="00DF2476" w:rsidRDefault="00DF2476" w:rsidP="00DF2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4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7E4B" w:rsidRPr="006523A5" w:rsidRDefault="000E7E4B" w:rsidP="000E7E4B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6523A5">
        <w:rPr>
          <w:rFonts w:eastAsia="Times New Roman" w:cs="Times New Roman"/>
          <w:b/>
          <w:bCs/>
          <w:color w:val="000000"/>
        </w:rPr>
        <w:t>Urines Collected by In and Out Catheter (I&amp;O)</w:t>
      </w:r>
      <w:r>
        <w:rPr>
          <w:rFonts w:eastAsia="Times New Roman" w:cs="Times New Roman"/>
          <w:b/>
          <w:bCs/>
          <w:color w:val="000000"/>
        </w:rPr>
        <w:t xml:space="preserve"> for Culture</w:t>
      </w:r>
    </w:p>
    <w:p w:rsidR="000E7E4B" w:rsidRPr="006523A5" w:rsidRDefault="000E7E4B" w:rsidP="000E7E4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</w:t>
      </w:r>
      <w:r w:rsidRPr="006523A5">
        <w:rPr>
          <w:rFonts w:eastAsia="Times New Roman" w:cs="Times New Roman"/>
          <w:color w:val="000000"/>
        </w:rPr>
        <w:t xml:space="preserve">o aid in the distinction between asymptomatic </w:t>
      </w:r>
      <w:proofErr w:type="spellStart"/>
      <w:r w:rsidRPr="006523A5">
        <w:rPr>
          <w:rFonts w:eastAsia="Times New Roman" w:cs="Times New Roman"/>
          <w:color w:val="000000"/>
        </w:rPr>
        <w:t>bacteriuria</w:t>
      </w:r>
      <w:proofErr w:type="spellEnd"/>
      <w:r w:rsidRPr="006523A5">
        <w:rPr>
          <w:rFonts w:eastAsia="Times New Roman" w:cs="Times New Roman"/>
          <w:color w:val="000000"/>
        </w:rPr>
        <w:t xml:space="preserve"> and significant </w:t>
      </w:r>
      <w:proofErr w:type="spellStart"/>
      <w:r w:rsidRPr="006523A5">
        <w:rPr>
          <w:rFonts w:eastAsia="Times New Roman" w:cs="Times New Roman"/>
          <w:color w:val="000000"/>
        </w:rPr>
        <w:t>bacteriuria</w:t>
      </w:r>
      <w:proofErr w:type="spellEnd"/>
      <w:r>
        <w:rPr>
          <w:rFonts w:eastAsia="Times New Roman" w:cs="Times New Roman"/>
          <w:color w:val="000000"/>
        </w:rPr>
        <w:t xml:space="preserve">, </w:t>
      </w:r>
      <w:r w:rsidRPr="003502B3">
        <w:rPr>
          <w:rFonts w:eastAsia="Times New Roman" w:cs="Times New Roman"/>
          <w:color w:val="000000"/>
        </w:rPr>
        <w:t xml:space="preserve">2 separate specimen types </w:t>
      </w:r>
      <w:r>
        <w:rPr>
          <w:rFonts w:eastAsia="Times New Roman" w:cs="Times New Roman"/>
          <w:color w:val="000000"/>
        </w:rPr>
        <w:t xml:space="preserve">are now available </w:t>
      </w:r>
      <w:r w:rsidRPr="003502B3">
        <w:rPr>
          <w:rFonts w:eastAsia="Times New Roman" w:cs="Times New Roman"/>
          <w:color w:val="000000"/>
        </w:rPr>
        <w:t>in Epic for urines collected by I&amp;O catheters.</w:t>
      </w:r>
      <w:r w:rsidRPr="006523A5">
        <w:rPr>
          <w:rFonts w:eastAsia="Times New Roman" w:cs="Times New Roman"/>
          <w:color w:val="000000"/>
        </w:rPr>
        <w:t xml:space="preserve">  </w:t>
      </w:r>
      <w:r>
        <w:rPr>
          <w:rFonts w:eastAsia="Times New Roman" w:cs="Times New Roman"/>
          <w:color w:val="000000"/>
        </w:rPr>
        <w:t xml:space="preserve">Results for </w:t>
      </w:r>
      <w:proofErr w:type="gramStart"/>
      <w:r w:rsidRPr="006523A5">
        <w:rPr>
          <w:rFonts w:eastAsia="Times New Roman" w:cs="Times New Roman"/>
          <w:color w:val="000000"/>
        </w:rPr>
        <w:t>I&amp;O</w:t>
      </w:r>
      <w:proofErr w:type="gramEnd"/>
      <w:r>
        <w:rPr>
          <w:rFonts w:eastAsia="Times New Roman" w:cs="Times New Roman"/>
          <w:color w:val="000000"/>
        </w:rPr>
        <w:t xml:space="preserve"> urine cultures</w:t>
      </w:r>
      <w:r w:rsidRPr="006523A5">
        <w:rPr>
          <w:rFonts w:eastAsia="Times New Roman" w:cs="Times New Roman"/>
          <w:color w:val="000000"/>
        </w:rPr>
        <w:t xml:space="preserve"> have historically been reported in the range from 10</w:t>
      </w:r>
      <w:r w:rsidRPr="006523A5">
        <w:rPr>
          <w:rFonts w:eastAsia="Times New Roman" w:cs="Times New Roman"/>
          <w:color w:val="000000"/>
          <w:vertAlign w:val="superscript"/>
        </w:rPr>
        <w:t>2</w:t>
      </w:r>
      <w:r w:rsidRPr="006523A5">
        <w:rPr>
          <w:rFonts w:eastAsia="Times New Roman" w:cs="Times New Roman"/>
          <w:color w:val="000000"/>
        </w:rPr>
        <w:t>-10</w:t>
      </w:r>
      <w:r w:rsidRPr="006523A5">
        <w:rPr>
          <w:rFonts w:eastAsia="Times New Roman" w:cs="Times New Roman"/>
          <w:color w:val="000000"/>
          <w:vertAlign w:val="superscript"/>
        </w:rPr>
        <w:t>4</w:t>
      </w:r>
      <w:r w:rsidRPr="006523A5">
        <w:rPr>
          <w:rFonts w:eastAsia="Times New Roman" w:cs="Times New Roman"/>
          <w:color w:val="000000"/>
        </w:rPr>
        <w:t xml:space="preserve"> CFU/mL.  </w:t>
      </w:r>
      <w:r w:rsidRPr="006523A5">
        <w:rPr>
          <w:rFonts w:eastAsia="Times New Roman" w:cs="Times New Roman"/>
          <w:i/>
          <w:iCs/>
          <w:color w:val="000000"/>
        </w:rPr>
        <w:t>They will now routinely be reported in the range of 10</w:t>
      </w:r>
      <w:r w:rsidRPr="006523A5">
        <w:rPr>
          <w:rFonts w:eastAsia="Times New Roman" w:cs="Times New Roman"/>
          <w:i/>
          <w:iCs/>
          <w:color w:val="000000"/>
          <w:vertAlign w:val="superscript"/>
        </w:rPr>
        <w:t>3</w:t>
      </w:r>
      <w:r w:rsidRPr="006523A5">
        <w:rPr>
          <w:rFonts w:eastAsia="Times New Roman" w:cs="Times New Roman"/>
          <w:i/>
          <w:iCs/>
          <w:color w:val="000000"/>
        </w:rPr>
        <w:t>-10</w:t>
      </w:r>
      <w:r w:rsidRPr="006523A5">
        <w:rPr>
          <w:rFonts w:eastAsia="Times New Roman" w:cs="Times New Roman"/>
          <w:i/>
          <w:iCs/>
          <w:color w:val="000000"/>
          <w:vertAlign w:val="superscript"/>
        </w:rPr>
        <w:t>5</w:t>
      </w:r>
      <w:r w:rsidRPr="006523A5">
        <w:rPr>
          <w:rFonts w:eastAsia="Times New Roman" w:cs="Times New Roman"/>
          <w:i/>
          <w:iCs/>
          <w:color w:val="000000"/>
        </w:rPr>
        <w:t xml:space="preserve"> CFU/mL</w:t>
      </w:r>
      <w:r w:rsidRPr="006523A5">
        <w:rPr>
          <w:rFonts w:eastAsia="Times New Roman" w:cs="Times New Roman"/>
          <w:color w:val="000000"/>
        </w:rPr>
        <w:t xml:space="preserve">.  This </w:t>
      </w:r>
      <w:r>
        <w:rPr>
          <w:rFonts w:eastAsia="Times New Roman" w:cs="Times New Roman"/>
          <w:color w:val="000000"/>
        </w:rPr>
        <w:t>is also</w:t>
      </w:r>
      <w:r w:rsidRPr="006523A5">
        <w:rPr>
          <w:rFonts w:eastAsia="Times New Roman" w:cs="Times New Roman"/>
          <w:color w:val="000000"/>
        </w:rPr>
        <w:t xml:space="preserve"> the appropriate range to meet NHSN CLAB</w:t>
      </w:r>
      <w:r>
        <w:rPr>
          <w:rFonts w:eastAsia="Times New Roman" w:cs="Times New Roman"/>
          <w:color w:val="000000"/>
        </w:rPr>
        <w:t>SI</w:t>
      </w:r>
      <w:r w:rsidRPr="006523A5">
        <w:rPr>
          <w:rFonts w:eastAsia="Times New Roman" w:cs="Times New Roman"/>
          <w:color w:val="000000"/>
        </w:rPr>
        <w:t xml:space="preserve"> and CAUTI reporting criteria.  </w:t>
      </w:r>
    </w:p>
    <w:p w:rsidR="000E7E4B" w:rsidRPr="006523A5" w:rsidRDefault="000E7E4B" w:rsidP="000E7E4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523A5">
        <w:rPr>
          <w:rFonts w:eastAsia="Times New Roman" w:cs="Times New Roman"/>
          <w:color w:val="000000"/>
        </w:rPr>
        <w:t xml:space="preserve">In some circumstances, clinicians may still wish to examine </w:t>
      </w:r>
      <w:proofErr w:type="gramStart"/>
      <w:r w:rsidRPr="006523A5">
        <w:rPr>
          <w:rFonts w:eastAsia="Times New Roman" w:cs="Times New Roman"/>
          <w:color w:val="000000"/>
        </w:rPr>
        <w:t>I&amp;O</w:t>
      </w:r>
      <w:proofErr w:type="gramEnd"/>
      <w:r w:rsidRPr="006523A5">
        <w:rPr>
          <w:rFonts w:eastAsia="Times New Roman" w:cs="Times New Roman"/>
          <w:color w:val="000000"/>
        </w:rPr>
        <w:t xml:space="preserve"> urine</w:t>
      </w:r>
      <w:r>
        <w:rPr>
          <w:rFonts w:eastAsia="Times New Roman" w:cs="Times New Roman"/>
          <w:color w:val="000000"/>
        </w:rPr>
        <w:t xml:space="preserve"> specimen</w:t>
      </w:r>
      <w:r w:rsidRPr="006523A5">
        <w:rPr>
          <w:rFonts w:eastAsia="Times New Roman" w:cs="Times New Roman"/>
          <w:color w:val="000000"/>
        </w:rPr>
        <w:t xml:space="preserve">s for the presence of low </w:t>
      </w:r>
      <w:r>
        <w:rPr>
          <w:rFonts w:eastAsia="Times New Roman" w:cs="Times New Roman"/>
          <w:color w:val="000000"/>
        </w:rPr>
        <w:t xml:space="preserve">colony </w:t>
      </w:r>
      <w:r w:rsidRPr="006523A5">
        <w:rPr>
          <w:rFonts w:eastAsia="Times New Roman" w:cs="Times New Roman"/>
          <w:color w:val="000000"/>
        </w:rPr>
        <w:t xml:space="preserve">count </w:t>
      </w:r>
      <w:proofErr w:type="spellStart"/>
      <w:r w:rsidRPr="006523A5">
        <w:rPr>
          <w:rFonts w:eastAsia="Times New Roman" w:cs="Times New Roman"/>
          <w:color w:val="000000"/>
        </w:rPr>
        <w:t>bacteriuria</w:t>
      </w:r>
      <w:proofErr w:type="spellEnd"/>
      <w:r w:rsidRPr="006523A5">
        <w:rPr>
          <w:rFonts w:eastAsia="Times New Roman" w:cs="Times New Roman"/>
          <w:color w:val="000000"/>
        </w:rPr>
        <w:t xml:space="preserve"> (10</w:t>
      </w:r>
      <w:r w:rsidRPr="006523A5">
        <w:rPr>
          <w:rFonts w:eastAsia="Times New Roman" w:cs="Times New Roman"/>
          <w:color w:val="000000"/>
          <w:vertAlign w:val="superscript"/>
        </w:rPr>
        <w:t>2</w:t>
      </w:r>
      <w:r w:rsidRPr="006523A5">
        <w:rPr>
          <w:rFonts w:eastAsia="Times New Roman" w:cs="Times New Roman"/>
          <w:color w:val="000000"/>
        </w:rPr>
        <w:t xml:space="preserve"> to 10</w:t>
      </w:r>
      <w:r w:rsidRPr="006523A5">
        <w:rPr>
          <w:rFonts w:eastAsia="Times New Roman" w:cs="Times New Roman"/>
          <w:color w:val="000000"/>
          <w:vertAlign w:val="superscript"/>
        </w:rPr>
        <w:t>4</w:t>
      </w:r>
      <w:r w:rsidRPr="006523A5">
        <w:rPr>
          <w:rFonts w:eastAsia="Times New Roman" w:cs="Times New Roman"/>
          <w:color w:val="000000"/>
        </w:rPr>
        <w:t xml:space="preserve"> CFU/mL). Examples may include patients prior to urological surgery or symptomatic sexually active young women with negative routine urine cultures. </w:t>
      </w:r>
    </w:p>
    <w:p w:rsidR="000E7E4B" w:rsidRPr="006523A5" w:rsidRDefault="000E7E4B" w:rsidP="000E7E4B">
      <w:pPr>
        <w:spacing w:before="100" w:beforeAutospacing="1" w:after="0" w:line="240" w:lineRule="auto"/>
        <w:rPr>
          <w:rFonts w:eastAsia="Times New Roman" w:cs="Times New Roman"/>
        </w:rPr>
      </w:pPr>
      <w:r w:rsidRPr="006523A5">
        <w:rPr>
          <w:rFonts w:eastAsia="Times New Roman" w:cs="Times New Roman"/>
          <w:color w:val="000000"/>
        </w:rPr>
        <w:t>Please choose the appropriate specimen type</w:t>
      </w:r>
      <w:r>
        <w:rPr>
          <w:rFonts w:eastAsia="Times New Roman" w:cs="Times New Roman"/>
          <w:color w:val="000000"/>
        </w:rPr>
        <w:t>; i</w:t>
      </w:r>
      <w:r w:rsidRPr="006523A5">
        <w:rPr>
          <w:rFonts w:eastAsia="Times New Roman" w:cs="Times New Roman"/>
          <w:color w:val="000000"/>
        </w:rPr>
        <w:t>noculation volumes are determined based upon the specimen type:</w:t>
      </w:r>
    </w:p>
    <w:p w:rsidR="000E7E4B" w:rsidRPr="006523A5" w:rsidRDefault="000E7E4B" w:rsidP="000E7E4B">
      <w:pPr>
        <w:pStyle w:val="ListParagraph"/>
        <w:numPr>
          <w:ilvl w:val="0"/>
          <w:numId w:val="1"/>
        </w:numPr>
        <w:spacing w:before="0" w:beforeAutospacing="0"/>
        <w:rPr>
          <w:rFonts w:asciiTheme="minorHAnsi" w:hAnsiTheme="minorHAnsi"/>
          <w:sz w:val="22"/>
          <w:szCs w:val="22"/>
        </w:rPr>
      </w:pPr>
      <w:r w:rsidRPr="006523A5">
        <w:rPr>
          <w:rFonts w:asciiTheme="minorHAnsi" w:hAnsiTheme="minorHAnsi"/>
          <w:b/>
          <w:bCs/>
          <w:color w:val="000000"/>
          <w:sz w:val="22"/>
          <w:szCs w:val="22"/>
        </w:rPr>
        <w:t>Standard Assessment In and Out Catheter</w:t>
      </w:r>
      <w:r w:rsidRPr="006523A5">
        <w:rPr>
          <w:rFonts w:asciiTheme="minorHAnsi" w:hAnsiTheme="minorHAnsi"/>
          <w:color w:val="000000"/>
          <w:sz w:val="22"/>
          <w:szCs w:val="22"/>
        </w:rPr>
        <w:t xml:space="preserve"> (lower </w:t>
      </w:r>
      <w:r>
        <w:rPr>
          <w:rFonts w:asciiTheme="minorHAnsi" w:hAnsiTheme="minorHAnsi"/>
          <w:color w:val="000000"/>
          <w:sz w:val="22"/>
          <w:szCs w:val="22"/>
        </w:rPr>
        <w:t xml:space="preserve">and upper reporting </w:t>
      </w:r>
      <w:r w:rsidRPr="006523A5">
        <w:rPr>
          <w:rFonts w:asciiTheme="minorHAnsi" w:hAnsiTheme="minorHAnsi"/>
          <w:color w:val="000000"/>
          <w:sz w:val="22"/>
          <w:szCs w:val="22"/>
        </w:rPr>
        <w:t>limit</w:t>
      </w:r>
      <w:r>
        <w:rPr>
          <w:rFonts w:asciiTheme="minorHAnsi" w:hAnsiTheme="minorHAnsi"/>
          <w:color w:val="000000"/>
          <w:sz w:val="22"/>
          <w:szCs w:val="22"/>
        </w:rPr>
        <w:t xml:space="preserve">s: </w:t>
      </w:r>
      <w:r w:rsidRPr="006523A5">
        <w:rPr>
          <w:rFonts w:asciiTheme="minorHAnsi" w:hAnsiTheme="minorHAnsi"/>
          <w:color w:val="000000"/>
          <w:sz w:val="22"/>
          <w:szCs w:val="22"/>
        </w:rPr>
        <w:t>10</w:t>
      </w:r>
      <w:r w:rsidRPr="006523A5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3 </w:t>
      </w:r>
      <w:r>
        <w:rPr>
          <w:rFonts w:asciiTheme="minorHAnsi" w:hAnsiTheme="minorHAnsi"/>
          <w:color w:val="000000"/>
          <w:sz w:val="22"/>
          <w:szCs w:val="22"/>
        </w:rPr>
        <w:t>and 10</w:t>
      </w:r>
      <w:r w:rsidRPr="00B1156E">
        <w:rPr>
          <w:rFonts w:asciiTheme="minorHAnsi" w:hAnsiTheme="minorHAnsi"/>
          <w:color w:val="000000"/>
          <w:sz w:val="22"/>
          <w:szCs w:val="22"/>
          <w:vertAlign w:val="superscript"/>
        </w:rPr>
        <w:t>5</w:t>
      </w:r>
      <w:r w:rsidRPr="00B1156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523A5">
        <w:rPr>
          <w:rFonts w:asciiTheme="minorHAnsi" w:hAnsiTheme="minorHAnsi"/>
          <w:color w:val="000000"/>
          <w:sz w:val="22"/>
          <w:szCs w:val="22"/>
        </w:rPr>
        <w:t>CFU/mL)</w:t>
      </w:r>
    </w:p>
    <w:p w:rsidR="000E7E4B" w:rsidRPr="006523A5" w:rsidRDefault="000E7E4B" w:rsidP="000E7E4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523A5">
        <w:rPr>
          <w:rFonts w:asciiTheme="minorHAnsi" w:hAnsiTheme="minorHAnsi"/>
          <w:b/>
          <w:bCs/>
          <w:color w:val="000000"/>
          <w:sz w:val="22"/>
          <w:szCs w:val="22"/>
        </w:rPr>
        <w:t>Low Colony Count Assessment In and Out Catheter</w:t>
      </w:r>
      <w:r w:rsidRPr="006523A5">
        <w:rPr>
          <w:rFonts w:asciiTheme="minorHAnsi" w:hAnsiTheme="minorHAnsi"/>
          <w:color w:val="000000"/>
          <w:sz w:val="22"/>
          <w:szCs w:val="22"/>
        </w:rPr>
        <w:t xml:space="preserve"> (lower </w:t>
      </w:r>
      <w:r>
        <w:rPr>
          <w:rFonts w:asciiTheme="minorHAnsi" w:hAnsiTheme="minorHAnsi"/>
          <w:color w:val="000000"/>
          <w:sz w:val="22"/>
          <w:szCs w:val="22"/>
        </w:rPr>
        <w:t xml:space="preserve">and upper reporting </w:t>
      </w:r>
      <w:r w:rsidRPr="006523A5">
        <w:rPr>
          <w:rFonts w:asciiTheme="minorHAnsi" w:hAnsiTheme="minorHAnsi"/>
          <w:color w:val="000000"/>
          <w:sz w:val="22"/>
          <w:szCs w:val="22"/>
        </w:rPr>
        <w:t>limit</w:t>
      </w:r>
      <w:r>
        <w:rPr>
          <w:rFonts w:asciiTheme="minorHAnsi" w:hAnsiTheme="minorHAnsi"/>
          <w:color w:val="000000"/>
          <w:sz w:val="22"/>
          <w:szCs w:val="22"/>
        </w:rPr>
        <w:t>s:</w:t>
      </w:r>
      <w:r w:rsidRPr="006523A5">
        <w:rPr>
          <w:rFonts w:asciiTheme="minorHAnsi" w:hAnsiTheme="minorHAnsi"/>
          <w:color w:val="000000"/>
          <w:sz w:val="22"/>
          <w:szCs w:val="22"/>
        </w:rPr>
        <w:t xml:space="preserve"> 10</w:t>
      </w:r>
      <w:r w:rsidRPr="006523A5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/>
          <w:color w:val="000000"/>
          <w:sz w:val="22"/>
          <w:szCs w:val="22"/>
        </w:rPr>
        <w:t xml:space="preserve"> and 10</w:t>
      </w:r>
      <w:r w:rsidRPr="00B1156E">
        <w:rPr>
          <w:rFonts w:asciiTheme="minorHAnsi" w:hAnsiTheme="minorHAnsi"/>
          <w:color w:val="000000"/>
          <w:sz w:val="22"/>
          <w:szCs w:val="22"/>
          <w:vertAlign w:val="superscript"/>
        </w:rPr>
        <w:t>4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523A5">
        <w:rPr>
          <w:rFonts w:asciiTheme="minorHAnsi" w:hAnsiTheme="minorHAnsi"/>
          <w:color w:val="000000"/>
          <w:sz w:val="22"/>
          <w:szCs w:val="22"/>
        </w:rPr>
        <w:t>CFU/mL)</w:t>
      </w:r>
    </w:p>
    <w:p w:rsidR="000E7E4B" w:rsidRPr="006523A5" w:rsidRDefault="000E7E4B" w:rsidP="000E7E4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effective date of this change is June 1, 2014. </w:t>
      </w:r>
      <w:r w:rsidRPr="006523A5">
        <w:rPr>
          <w:rFonts w:eastAsia="Times New Roman" w:cs="Times New Roman"/>
          <w:color w:val="000000"/>
        </w:rPr>
        <w:t>Please direct any questions or concerns to the Clinical Microbiology Director on call at PIC 1221.</w:t>
      </w:r>
    </w:p>
    <w:p w:rsidR="00F36B40" w:rsidRPr="006523A5" w:rsidRDefault="00F36B40" w:rsidP="00F36B4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</w:rPr>
      </w:pPr>
    </w:p>
    <w:p w:rsidR="00F36B40" w:rsidRPr="006523A5" w:rsidRDefault="00F36B40" w:rsidP="006523A5">
      <w:pPr>
        <w:jc w:val="center"/>
        <w:rPr>
          <w:rFonts w:eastAsia="Times New Roman" w:cs="Times New Roman"/>
          <w:color w:val="000000"/>
        </w:rPr>
      </w:pPr>
      <w:r w:rsidRPr="006523A5">
        <w:rPr>
          <w:rFonts w:eastAsia="Times New Roman" w:cs="Times New Roman"/>
          <w:b/>
          <w:color w:val="000000"/>
        </w:rPr>
        <w:t>Patient-Collected Stool Specimens</w:t>
      </w:r>
    </w:p>
    <w:p w:rsidR="00F36B40" w:rsidRPr="006523A5" w:rsidRDefault="00F36B40" w:rsidP="00F36B40">
      <w:pPr>
        <w:spacing w:before="100" w:beforeAutospacing="1" w:after="0" w:line="240" w:lineRule="auto"/>
        <w:rPr>
          <w:rFonts w:eastAsia="Times New Roman" w:cs="Times New Roman"/>
          <w:color w:val="000000"/>
        </w:rPr>
      </w:pPr>
      <w:r w:rsidRPr="006523A5">
        <w:rPr>
          <w:rFonts w:eastAsia="Times New Roman" w:cs="Times New Roman"/>
          <w:color w:val="000000"/>
        </w:rPr>
        <w:t>When sending a patient home with a stool collection kit for occult blood or stool pathogens, please remember to:</w:t>
      </w:r>
    </w:p>
    <w:p w:rsidR="00F36B40" w:rsidRPr="006523A5" w:rsidRDefault="00F36B40" w:rsidP="00F36B40">
      <w:pPr>
        <w:pStyle w:val="ListParagraph"/>
        <w:numPr>
          <w:ilvl w:val="0"/>
          <w:numId w:val="2"/>
        </w:numPr>
        <w:spacing w:before="0" w:beforeAutospacing="0"/>
        <w:rPr>
          <w:rFonts w:asciiTheme="minorHAnsi" w:hAnsiTheme="minorHAnsi"/>
          <w:sz w:val="22"/>
          <w:szCs w:val="22"/>
        </w:rPr>
      </w:pPr>
      <w:r w:rsidRPr="006523A5">
        <w:rPr>
          <w:rFonts w:asciiTheme="minorHAnsi" w:hAnsiTheme="minorHAnsi"/>
          <w:sz w:val="22"/>
          <w:szCs w:val="22"/>
        </w:rPr>
        <w:t>Label the collection device with a clinic visit sticker</w:t>
      </w:r>
    </w:p>
    <w:p w:rsidR="00F36B40" w:rsidRPr="006523A5" w:rsidRDefault="00F36B40" w:rsidP="00F36B4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523A5">
        <w:rPr>
          <w:rFonts w:asciiTheme="minorHAnsi" w:hAnsiTheme="minorHAnsi"/>
          <w:sz w:val="22"/>
          <w:szCs w:val="22"/>
        </w:rPr>
        <w:t>Instruct the patient to document the COLLECTION DATE before sending the sample back to UVA Medical Laboratories</w:t>
      </w:r>
    </w:p>
    <w:p w:rsidR="00F36B40" w:rsidRPr="006523A5" w:rsidRDefault="00F36B40" w:rsidP="00F36B40"/>
    <w:p w:rsidR="006523A5" w:rsidRDefault="006523A5">
      <w:pPr>
        <w:rPr>
          <w:b/>
        </w:rPr>
      </w:pPr>
      <w:r>
        <w:rPr>
          <w:b/>
        </w:rPr>
        <w:br w:type="page"/>
      </w:r>
    </w:p>
    <w:p w:rsidR="00F36B40" w:rsidRPr="006523A5" w:rsidRDefault="00F36B40" w:rsidP="00F36B40">
      <w:pPr>
        <w:jc w:val="center"/>
        <w:rPr>
          <w:b/>
        </w:rPr>
      </w:pPr>
      <w:r w:rsidRPr="006523A5">
        <w:rPr>
          <w:b/>
        </w:rPr>
        <w:lastRenderedPageBreak/>
        <w:t>Lipid Testing in the Medicare Patient</w:t>
      </w:r>
    </w:p>
    <w:p w:rsidR="00F36B40" w:rsidRPr="006523A5" w:rsidRDefault="00F36B40" w:rsidP="006523A5">
      <w:pPr>
        <w:spacing w:line="240" w:lineRule="auto"/>
      </w:pPr>
      <w:r w:rsidRPr="006523A5">
        <w:t>Lipid testing: Lipid Panel, Cholesterol, Triglycerides, Lipoproteins (direct measurement)</w:t>
      </w:r>
    </w:p>
    <w:p w:rsidR="00F36B40" w:rsidRPr="006523A5" w:rsidRDefault="00F36B40" w:rsidP="006523A5">
      <w:pPr>
        <w:spacing w:line="240" w:lineRule="auto"/>
      </w:pPr>
      <w:r w:rsidRPr="006523A5">
        <w:t xml:space="preserve">In 2005 Medicare expanded the coverage law to include cardiovascular screening services once every 60 months when billed with V81.0, V81.1 or V81.2.  While lipid </w:t>
      </w:r>
      <w:r w:rsidRPr="006523A5">
        <w:rPr>
          <w:u w:val="single"/>
        </w:rPr>
        <w:t>screening</w:t>
      </w:r>
      <w:r w:rsidRPr="006523A5">
        <w:t xml:space="preserve"> may be medically appropriate, Medicare by statute does not pay for it any more frequent</w:t>
      </w:r>
      <w:r w:rsidR="000E7E4B">
        <w:t>ly</w:t>
      </w:r>
      <w:r w:rsidRPr="006523A5">
        <w:t xml:space="preserve"> than once every 60 months.</w:t>
      </w:r>
    </w:p>
    <w:p w:rsidR="00F36B40" w:rsidRPr="006523A5" w:rsidRDefault="00F36B40" w:rsidP="006523A5">
      <w:pPr>
        <w:spacing w:line="240" w:lineRule="auto"/>
      </w:pPr>
      <w:r w:rsidRPr="006523A5">
        <w:t>Once a diagnosis has been established and is being monitored or when monitoring long-term anti-lipid therapy</w:t>
      </w:r>
      <w:r w:rsidR="000E7E4B">
        <w:t>,</w:t>
      </w:r>
      <w:r w:rsidRPr="006523A5">
        <w:t xml:space="preserve"> it is reasonable to perform lipid testing annually. More frequent testing (up to 6 times a year) may be indicated if there are elevations in values or changes to anti-lipid therapy.</w:t>
      </w:r>
    </w:p>
    <w:p w:rsidR="00F36B40" w:rsidRPr="006523A5" w:rsidRDefault="00F36B40" w:rsidP="006523A5">
      <w:pPr>
        <w:spacing w:line="240" w:lineRule="auto"/>
      </w:pPr>
      <w:r w:rsidRPr="006523A5">
        <w:t xml:space="preserve">Medicare will only pay for testing that is deemed medically necessary. When submitting this type of testing on your patients, </w:t>
      </w:r>
      <w:r w:rsidRPr="006523A5">
        <w:rPr>
          <w:u w:val="single"/>
        </w:rPr>
        <w:t>please</w:t>
      </w:r>
      <w:r w:rsidRPr="006523A5">
        <w:t xml:space="preserve"> be sure to submit the appropriate diagnosis codes to support the test you are requesting. Examples of appropriate codes might be 242.00, 244.9, 250.00, 272.4, 401.9, </w:t>
      </w:r>
      <w:proofErr w:type="gramStart"/>
      <w:r w:rsidRPr="006523A5">
        <w:t>585.9</w:t>
      </w:r>
      <w:proofErr w:type="gramEnd"/>
      <w:r w:rsidRPr="006523A5">
        <w:t xml:space="preserve">.  If these or other </w:t>
      </w:r>
      <w:r w:rsidR="000E7E4B">
        <w:t xml:space="preserve">appropriate </w:t>
      </w:r>
      <w:r w:rsidRPr="006523A5">
        <w:t xml:space="preserve">codes are not applicable, please discuss with your patient and have them sign the Advanced Beneficiary Notice (ABN) for billing purposes. </w:t>
      </w:r>
    </w:p>
    <w:p w:rsidR="00F36B40" w:rsidRPr="006523A5" w:rsidRDefault="00F36B40" w:rsidP="00F36B40">
      <w:pPr>
        <w:jc w:val="center"/>
      </w:pPr>
    </w:p>
    <w:p w:rsidR="000E7E4B" w:rsidRPr="006523A5" w:rsidRDefault="000E7E4B" w:rsidP="000E7E4B">
      <w:pPr>
        <w:jc w:val="center"/>
        <w:rPr>
          <w:b/>
        </w:rPr>
      </w:pPr>
      <w:r w:rsidRPr="006523A5">
        <w:rPr>
          <w:b/>
        </w:rPr>
        <w:t>New Test Available</w:t>
      </w:r>
      <w:r>
        <w:rPr>
          <w:b/>
        </w:rPr>
        <w:t xml:space="preserve"> – Fecal Calprotectin</w:t>
      </w:r>
    </w:p>
    <w:p w:rsidR="000E7E4B" w:rsidRDefault="000E7E4B" w:rsidP="000E7E4B">
      <w:pPr>
        <w:spacing w:line="240" w:lineRule="auto"/>
      </w:pPr>
      <w:r w:rsidRPr="006523A5">
        <w:t>Calprotectin is a neutrophilic marker specific for inflammation in the gastrointestinal tract. It is elevated with infection, post-infectious I</w:t>
      </w:r>
      <w:r>
        <w:t xml:space="preserve">rritable </w:t>
      </w:r>
      <w:r w:rsidRPr="006523A5">
        <w:t>B</w:t>
      </w:r>
      <w:r>
        <w:t xml:space="preserve">owel </w:t>
      </w:r>
      <w:r w:rsidRPr="006523A5">
        <w:t>S</w:t>
      </w:r>
      <w:r>
        <w:t>yndrome (IBS)</w:t>
      </w:r>
      <w:r w:rsidRPr="006523A5">
        <w:t xml:space="preserve">, and NSAID </w:t>
      </w:r>
      <w:proofErr w:type="spellStart"/>
      <w:r w:rsidRPr="006523A5">
        <w:t>enteropathy</w:t>
      </w:r>
      <w:proofErr w:type="spellEnd"/>
      <w:r>
        <w:t>, but typically not with IBS</w:t>
      </w:r>
      <w:r w:rsidRPr="006523A5">
        <w:t xml:space="preserve">. Fecal calprotectin can be used to differentiate </w:t>
      </w:r>
      <w:r>
        <w:t>Inflammatory Bowel Disease (</w:t>
      </w:r>
      <w:r w:rsidRPr="006523A5">
        <w:t>IBD</w:t>
      </w:r>
      <w:r>
        <w:t>)</w:t>
      </w:r>
      <w:r w:rsidRPr="006523A5">
        <w:t xml:space="preserve"> vs. IBS</w:t>
      </w:r>
      <w:r>
        <w:t xml:space="preserve"> (pooled </w:t>
      </w:r>
      <w:r w:rsidRPr="00D573F8">
        <w:t xml:space="preserve">sensitivity </w:t>
      </w:r>
      <w:r>
        <w:t xml:space="preserve">and specificity </w:t>
      </w:r>
      <w:r w:rsidRPr="00D573F8">
        <w:t>of 93% and 94%</w:t>
      </w:r>
      <w:r>
        <w:t xml:space="preserve"> in a recent review</w:t>
      </w:r>
      <w:r w:rsidRPr="00795667">
        <w:rPr>
          <w:vertAlign w:val="superscript"/>
        </w:rPr>
        <w:t>1</w:t>
      </w:r>
      <w:r>
        <w:t>)</w:t>
      </w:r>
      <w:r w:rsidRPr="006523A5">
        <w:t xml:space="preserve">, to monitor treatment in IBD, and to </w:t>
      </w:r>
      <w:r>
        <w:t xml:space="preserve">aid in </w:t>
      </w:r>
      <w:r w:rsidRPr="006523A5">
        <w:t>determin</w:t>
      </w:r>
      <w:r>
        <w:t>ing</w:t>
      </w:r>
      <w:r w:rsidRPr="006523A5">
        <w:t xml:space="preserve"> which patients </w:t>
      </w:r>
      <w:r>
        <w:t>to</w:t>
      </w:r>
      <w:r w:rsidRPr="006523A5">
        <w:t xml:space="preserve"> refer for endoscopy and/or colon</w:t>
      </w:r>
      <w:r>
        <w:t>o</w:t>
      </w:r>
      <w:r w:rsidRPr="006523A5">
        <w:t>scopy.</w:t>
      </w:r>
      <w:r>
        <w:t xml:space="preserve">  </w:t>
      </w:r>
    </w:p>
    <w:p w:rsidR="000E7E4B" w:rsidRDefault="000E7E4B" w:rsidP="000E7E4B">
      <w:pPr>
        <w:spacing w:line="240" w:lineRule="auto"/>
      </w:pPr>
      <w:r>
        <w:t>The specimen type is unpreserved stool (1 g) and is orderable in Epic.  Results will be available from Quest Diagnostics within 4 to 6 days and will post under “Stool” in the laboratory results tree.</w:t>
      </w:r>
    </w:p>
    <w:p w:rsidR="000E7E4B" w:rsidRPr="000E7E4B" w:rsidRDefault="000E7E4B" w:rsidP="000E7E4B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0E7E4B">
        <w:rPr>
          <w:rFonts w:asciiTheme="minorHAnsi" w:hAnsiTheme="minorHAnsi"/>
          <w:sz w:val="20"/>
          <w:szCs w:val="20"/>
        </w:rPr>
        <w:t xml:space="preserve">Waugh N, Cummins E. </w:t>
      </w:r>
      <w:proofErr w:type="spellStart"/>
      <w:r w:rsidRPr="000E7E4B">
        <w:rPr>
          <w:rFonts w:asciiTheme="minorHAnsi" w:hAnsiTheme="minorHAnsi"/>
          <w:sz w:val="20"/>
          <w:szCs w:val="20"/>
        </w:rPr>
        <w:t>Royle</w:t>
      </w:r>
      <w:proofErr w:type="spellEnd"/>
      <w:r w:rsidRPr="000E7E4B">
        <w:rPr>
          <w:rFonts w:asciiTheme="minorHAnsi" w:hAnsiTheme="minorHAnsi"/>
          <w:sz w:val="20"/>
          <w:szCs w:val="20"/>
        </w:rPr>
        <w:t xml:space="preserve"> P et al. </w:t>
      </w:r>
      <w:proofErr w:type="spellStart"/>
      <w:r w:rsidRPr="000E7E4B">
        <w:rPr>
          <w:rFonts w:asciiTheme="minorHAnsi" w:hAnsiTheme="minorHAnsi"/>
          <w:sz w:val="20"/>
          <w:szCs w:val="20"/>
        </w:rPr>
        <w:t>Faecal</w:t>
      </w:r>
      <w:proofErr w:type="spellEnd"/>
      <w:r w:rsidRPr="000E7E4B">
        <w:rPr>
          <w:rFonts w:asciiTheme="minorHAnsi" w:hAnsiTheme="minorHAnsi"/>
          <w:sz w:val="20"/>
          <w:szCs w:val="20"/>
        </w:rPr>
        <w:t xml:space="preserve"> calprotectin testing for differentiating amongst inflammatory and non-inflammatory bowel diseases: systematic review and economic evaluation. Health </w:t>
      </w:r>
      <w:proofErr w:type="spellStart"/>
      <w:r w:rsidRPr="000E7E4B">
        <w:rPr>
          <w:rFonts w:asciiTheme="minorHAnsi" w:hAnsiTheme="minorHAnsi"/>
          <w:sz w:val="20"/>
          <w:szCs w:val="20"/>
        </w:rPr>
        <w:t>Technol</w:t>
      </w:r>
      <w:proofErr w:type="spellEnd"/>
      <w:r w:rsidRPr="000E7E4B">
        <w:rPr>
          <w:rFonts w:asciiTheme="minorHAnsi" w:hAnsiTheme="minorHAnsi"/>
          <w:sz w:val="20"/>
          <w:szCs w:val="20"/>
        </w:rPr>
        <w:t xml:space="preserve"> Assess 2013</w:t>
      </w:r>
      <w:proofErr w:type="gramStart"/>
      <w:r w:rsidRPr="000E7E4B">
        <w:rPr>
          <w:rFonts w:asciiTheme="minorHAnsi" w:hAnsiTheme="minorHAnsi"/>
          <w:sz w:val="20"/>
          <w:szCs w:val="20"/>
        </w:rPr>
        <w:t>;17</w:t>
      </w:r>
      <w:proofErr w:type="gramEnd"/>
      <w:r w:rsidRPr="000E7E4B">
        <w:rPr>
          <w:rFonts w:asciiTheme="minorHAnsi" w:hAnsiTheme="minorHAnsi"/>
          <w:sz w:val="20"/>
          <w:szCs w:val="20"/>
        </w:rPr>
        <w:t>(55):1-211.</w:t>
      </w:r>
    </w:p>
    <w:p w:rsidR="006523A5" w:rsidRDefault="006523A5">
      <w:pPr>
        <w:spacing w:line="240" w:lineRule="auto"/>
        <w:rPr>
          <w:b/>
        </w:rPr>
      </w:pPr>
    </w:p>
    <w:p w:rsidR="0009249D" w:rsidRDefault="0009249D" w:rsidP="0009249D">
      <w:pPr>
        <w:spacing w:line="240" w:lineRule="auto"/>
        <w:jc w:val="center"/>
        <w:rPr>
          <w:b/>
        </w:rPr>
      </w:pPr>
      <w:r>
        <w:rPr>
          <w:b/>
        </w:rPr>
        <w:t xml:space="preserve">Change </w:t>
      </w:r>
      <w:r w:rsidR="004E7DE9">
        <w:rPr>
          <w:b/>
        </w:rPr>
        <w:t>t</w:t>
      </w:r>
      <w:r>
        <w:rPr>
          <w:b/>
        </w:rPr>
        <w:t xml:space="preserve">o Catecholamine </w:t>
      </w:r>
      <w:r w:rsidR="004E7DE9">
        <w:rPr>
          <w:b/>
        </w:rPr>
        <w:t>P</w:t>
      </w:r>
      <w:r>
        <w:rPr>
          <w:b/>
        </w:rPr>
        <w:t>anel</w:t>
      </w:r>
    </w:p>
    <w:p w:rsidR="0009249D" w:rsidRDefault="0009249D" w:rsidP="0009249D">
      <w:pPr>
        <w:spacing w:line="240" w:lineRule="auto"/>
      </w:pPr>
      <w:r>
        <w:t xml:space="preserve">Effective </w:t>
      </w:r>
      <w:r w:rsidR="001E1FDF">
        <w:t>June 1, 2015, VMA (</w:t>
      </w:r>
      <w:r w:rsidR="000E7E4B">
        <w:t>v</w:t>
      </w:r>
      <w:r w:rsidR="001E1FDF">
        <w:t>anillylmandelic</w:t>
      </w:r>
      <w:r>
        <w:t xml:space="preserve"> </w:t>
      </w:r>
      <w:r w:rsidR="000E7E4B">
        <w:t>a</w:t>
      </w:r>
      <w:r>
        <w:t xml:space="preserve">cid) will no longer be included in the urine catecholamine panel performed in-house.  The </w:t>
      </w:r>
      <w:r w:rsidR="000E7E4B">
        <w:t xml:space="preserve">VMA </w:t>
      </w:r>
      <w:r>
        <w:t>test is available through our referral laboratory, Mayo Medical Laboratories.</w:t>
      </w:r>
    </w:p>
    <w:p w:rsidR="00232D4C" w:rsidRDefault="00232D4C" w:rsidP="0009249D">
      <w:pPr>
        <w:spacing w:line="240" w:lineRule="auto"/>
      </w:pPr>
    </w:p>
    <w:p w:rsidR="00232D4C" w:rsidRDefault="00232D4C" w:rsidP="00232D4C">
      <w:pPr>
        <w:spacing w:line="240" w:lineRule="auto"/>
        <w:jc w:val="center"/>
        <w:rPr>
          <w:b/>
        </w:rPr>
      </w:pPr>
      <w:r>
        <w:rPr>
          <w:b/>
        </w:rPr>
        <w:t>PTT Reference Interval Change</w:t>
      </w:r>
    </w:p>
    <w:p w:rsidR="00232D4C" w:rsidRPr="00232D4C" w:rsidRDefault="00232D4C" w:rsidP="00232D4C">
      <w:pPr>
        <w:spacing w:line="240" w:lineRule="auto"/>
      </w:pPr>
      <w:r>
        <w:t>Effective May 22, 2015, the reference interval for PTT changed to 27.8 – 37.6 seconds due to a reagent lot change.</w:t>
      </w:r>
      <w:bookmarkStart w:id="0" w:name="_GoBack"/>
      <w:bookmarkEnd w:id="0"/>
    </w:p>
    <w:sectPr w:rsidR="00232D4C" w:rsidRPr="00232D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6B" w:rsidRDefault="009D5D6B" w:rsidP="004E7DE9">
      <w:pPr>
        <w:spacing w:after="0" w:line="240" w:lineRule="auto"/>
      </w:pPr>
      <w:r>
        <w:separator/>
      </w:r>
    </w:p>
  </w:endnote>
  <w:endnote w:type="continuationSeparator" w:id="0">
    <w:p w:rsidR="009D5D6B" w:rsidRDefault="009D5D6B" w:rsidP="004E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4359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E7DE9" w:rsidRPr="004E7DE9" w:rsidRDefault="004E7DE9">
            <w:pPr>
              <w:pStyle w:val="Footer"/>
              <w:jc w:val="center"/>
            </w:pPr>
            <w:r w:rsidRPr="004E7DE9">
              <w:t xml:space="preserve">Page </w:t>
            </w:r>
            <w:r w:rsidRPr="004E7DE9">
              <w:rPr>
                <w:bCs/>
                <w:sz w:val="24"/>
                <w:szCs w:val="24"/>
              </w:rPr>
              <w:fldChar w:fldCharType="begin"/>
            </w:r>
            <w:r w:rsidRPr="004E7DE9">
              <w:rPr>
                <w:bCs/>
              </w:rPr>
              <w:instrText xml:space="preserve"> PAGE </w:instrText>
            </w:r>
            <w:r w:rsidRPr="004E7DE9">
              <w:rPr>
                <w:bCs/>
                <w:sz w:val="24"/>
                <w:szCs w:val="24"/>
              </w:rPr>
              <w:fldChar w:fldCharType="separate"/>
            </w:r>
            <w:r w:rsidR="00D82610">
              <w:rPr>
                <w:bCs/>
                <w:noProof/>
              </w:rPr>
              <w:t>2</w:t>
            </w:r>
            <w:r w:rsidRPr="004E7DE9">
              <w:rPr>
                <w:bCs/>
                <w:sz w:val="24"/>
                <w:szCs w:val="24"/>
              </w:rPr>
              <w:fldChar w:fldCharType="end"/>
            </w:r>
            <w:r w:rsidRPr="004E7DE9">
              <w:t xml:space="preserve"> of </w:t>
            </w:r>
            <w:r w:rsidRPr="004E7DE9">
              <w:rPr>
                <w:bCs/>
                <w:sz w:val="24"/>
                <w:szCs w:val="24"/>
              </w:rPr>
              <w:fldChar w:fldCharType="begin"/>
            </w:r>
            <w:r w:rsidRPr="004E7DE9">
              <w:rPr>
                <w:bCs/>
              </w:rPr>
              <w:instrText xml:space="preserve"> NUMPAGES  </w:instrText>
            </w:r>
            <w:r w:rsidRPr="004E7DE9">
              <w:rPr>
                <w:bCs/>
                <w:sz w:val="24"/>
                <w:szCs w:val="24"/>
              </w:rPr>
              <w:fldChar w:fldCharType="separate"/>
            </w:r>
            <w:r w:rsidR="00D82610">
              <w:rPr>
                <w:bCs/>
                <w:noProof/>
              </w:rPr>
              <w:t>2</w:t>
            </w:r>
            <w:r w:rsidRPr="004E7DE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DE9" w:rsidRDefault="004E7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6B" w:rsidRDefault="009D5D6B" w:rsidP="004E7DE9">
      <w:pPr>
        <w:spacing w:after="0" w:line="240" w:lineRule="auto"/>
      </w:pPr>
      <w:r>
        <w:separator/>
      </w:r>
    </w:p>
  </w:footnote>
  <w:footnote w:type="continuationSeparator" w:id="0">
    <w:p w:rsidR="009D5D6B" w:rsidRDefault="009D5D6B" w:rsidP="004E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6B8"/>
    <w:multiLevelType w:val="hybridMultilevel"/>
    <w:tmpl w:val="8FB4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375EE"/>
    <w:multiLevelType w:val="hybridMultilevel"/>
    <w:tmpl w:val="0644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897"/>
    <w:multiLevelType w:val="hybridMultilevel"/>
    <w:tmpl w:val="C0F2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76"/>
    <w:rsid w:val="0009249D"/>
    <w:rsid w:val="000E7E4B"/>
    <w:rsid w:val="001E1FDF"/>
    <w:rsid w:val="00232D4C"/>
    <w:rsid w:val="004C4803"/>
    <w:rsid w:val="004D6DA9"/>
    <w:rsid w:val="004E7DE9"/>
    <w:rsid w:val="00604654"/>
    <w:rsid w:val="006523A5"/>
    <w:rsid w:val="008656EB"/>
    <w:rsid w:val="009D5D6B"/>
    <w:rsid w:val="00B221C7"/>
    <w:rsid w:val="00D57F31"/>
    <w:rsid w:val="00D82610"/>
    <w:rsid w:val="00DF2476"/>
    <w:rsid w:val="00F36B40"/>
    <w:rsid w:val="00F55F48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36B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E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DE9"/>
  </w:style>
  <w:style w:type="paragraph" w:styleId="Footer">
    <w:name w:val="footer"/>
    <w:basedOn w:val="Normal"/>
    <w:link w:val="FooterChar"/>
    <w:uiPriority w:val="99"/>
    <w:unhideWhenUsed/>
    <w:rsid w:val="004E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DE9"/>
  </w:style>
  <w:style w:type="paragraph" w:styleId="BalloonText">
    <w:name w:val="Balloon Text"/>
    <w:basedOn w:val="Normal"/>
    <w:link w:val="BalloonTextChar"/>
    <w:uiPriority w:val="99"/>
    <w:semiHidden/>
    <w:unhideWhenUsed/>
    <w:rsid w:val="001E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36B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E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DE9"/>
  </w:style>
  <w:style w:type="paragraph" w:styleId="Footer">
    <w:name w:val="footer"/>
    <w:basedOn w:val="Normal"/>
    <w:link w:val="FooterChar"/>
    <w:uiPriority w:val="99"/>
    <w:unhideWhenUsed/>
    <w:rsid w:val="004E7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DE9"/>
  </w:style>
  <w:style w:type="paragraph" w:styleId="BalloonText">
    <w:name w:val="Balloon Text"/>
    <w:basedOn w:val="Normal"/>
    <w:link w:val="BalloonTextChar"/>
    <w:uiPriority w:val="99"/>
    <w:semiHidden/>
    <w:unhideWhenUsed/>
    <w:rsid w:val="001E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dmh2t</dc:creator>
  <cp:lastModifiedBy>dmh2t</cp:lastModifiedBy>
  <cp:revision>13</cp:revision>
  <cp:lastPrinted>2015-05-28T19:28:00Z</cp:lastPrinted>
  <dcterms:created xsi:type="dcterms:W3CDTF">2015-05-25T13:33:00Z</dcterms:created>
  <dcterms:modified xsi:type="dcterms:W3CDTF">2015-05-28T19:28:00Z</dcterms:modified>
</cp:coreProperties>
</file>