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E1A8D" w:rsidRPr="0043707F" w:rsidRDefault="001E1A8D" w:rsidP="001E1A8D">
      <w:pPr>
        <w:pStyle w:val="NoSpacing"/>
        <w:jc w:val="center"/>
        <w:outlineLvl w:val="0"/>
        <w:rPr>
          <w:rFonts w:ascii="Calibri" w:hAnsi="Calibri"/>
          <w:sz w:val="28"/>
          <w:szCs w:val="28"/>
        </w:rPr>
      </w:pPr>
      <w:bookmarkStart w:id="0" w:name="_GoBack"/>
      <w:bookmarkEnd w:id="0"/>
      <w:r w:rsidRPr="0043707F">
        <w:rPr>
          <w:rFonts w:ascii="Calibri" w:hAnsi="Calibri"/>
          <w:sz w:val="28"/>
          <w:szCs w:val="28"/>
        </w:rPr>
        <w:t>University of Virginia Health System</w:t>
      </w:r>
    </w:p>
    <w:p w:rsidR="001E1A8D" w:rsidRPr="0043707F" w:rsidRDefault="001E1A8D" w:rsidP="001E1A8D">
      <w:pPr>
        <w:pStyle w:val="NoSpacing"/>
        <w:jc w:val="center"/>
        <w:outlineLvl w:val="0"/>
        <w:rPr>
          <w:rFonts w:ascii="Calibri" w:hAnsi="Calibri"/>
          <w:b/>
          <w:snapToGrid w:val="0"/>
          <w:sz w:val="28"/>
          <w:szCs w:val="28"/>
        </w:rPr>
      </w:pPr>
      <w:r w:rsidRPr="0043707F">
        <w:rPr>
          <w:rFonts w:ascii="Calibri" w:hAnsi="Calibri"/>
          <w:b/>
          <w:snapToGrid w:val="0"/>
          <w:sz w:val="28"/>
          <w:szCs w:val="28"/>
        </w:rPr>
        <w:t>Medical Laboratories</w:t>
      </w:r>
    </w:p>
    <w:p w:rsidR="001E1A8D" w:rsidRPr="0043707F" w:rsidRDefault="001E1A8D" w:rsidP="001E1A8D">
      <w:pPr>
        <w:pStyle w:val="NoSpacing"/>
        <w:jc w:val="center"/>
        <w:outlineLvl w:val="0"/>
        <w:rPr>
          <w:rFonts w:ascii="Calibri" w:hAnsi="Calibri"/>
          <w:b/>
          <w:i/>
          <w:snapToGrid w:val="0"/>
          <w:sz w:val="28"/>
          <w:szCs w:val="28"/>
        </w:rPr>
      </w:pPr>
      <w:r w:rsidRPr="0043707F">
        <w:rPr>
          <w:rFonts w:ascii="Calibri" w:hAnsi="Calibri"/>
          <w:b/>
          <w:i/>
          <w:snapToGrid w:val="0"/>
          <w:sz w:val="28"/>
          <w:szCs w:val="28"/>
        </w:rPr>
        <w:t>“Quality You Expect, Service You Deserve”</w:t>
      </w:r>
    </w:p>
    <w:p w:rsidR="001E1A8D" w:rsidRPr="0043707F" w:rsidRDefault="001E1A8D" w:rsidP="001E1A8D">
      <w:pPr>
        <w:pStyle w:val="NoSpacing"/>
        <w:jc w:val="center"/>
        <w:rPr>
          <w:rFonts w:ascii="Calibri" w:hAnsi="Calibri"/>
          <w:b/>
          <w:i/>
          <w:snapToGrid w:val="0"/>
        </w:rPr>
      </w:pPr>
    </w:p>
    <w:p w:rsidR="001E1A8D" w:rsidRPr="0043707F" w:rsidRDefault="001E1A8D" w:rsidP="001E1A8D">
      <w:pPr>
        <w:keepNext/>
        <w:widowControl w:val="0"/>
        <w:jc w:val="center"/>
        <w:outlineLvl w:val="0"/>
        <w:rPr>
          <w:rFonts w:ascii="Calibri" w:hAnsi="Calibri"/>
          <w:b/>
          <w:i/>
          <w:snapToGrid w:val="0"/>
          <w:sz w:val="28"/>
          <w:szCs w:val="28"/>
          <w:u w:val="single"/>
        </w:rPr>
      </w:pPr>
      <w:r w:rsidRPr="0043707F">
        <w:rPr>
          <w:rFonts w:ascii="Calibri" w:hAnsi="Calibri"/>
          <w:b/>
          <w:i/>
          <w:snapToGrid w:val="0"/>
          <w:sz w:val="28"/>
          <w:szCs w:val="28"/>
          <w:u w:val="single"/>
        </w:rPr>
        <w:t>LABORATORY MEDICINE UPDATE</w:t>
      </w:r>
    </w:p>
    <w:p w:rsidR="001E1A8D" w:rsidRPr="0043707F" w:rsidRDefault="001E1A8D" w:rsidP="001E1A8D">
      <w:pPr>
        <w:jc w:val="center"/>
        <w:rPr>
          <w:rFonts w:ascii="Calibri" w:hAnsi="Calibri"/>
          <w:snapToGrid w:val="0"/>
          <w:sz w:val="28"/>
          <w:szCs w:val="28"/>
          <w:u w:val="single"/>
        </w:rPr>
      </w:pPr>
      <w:r>
        <w:rPr>
          <w:rFonts w:ascii="Calibri" w:hAnsi="Calibri"/>
          <w:snapToGrid w:val="0"/>
          <w:sz w:val="28"/>
          <w:szCs w:val="28"/>
          <w:u w:val="single"/>
        </w:rPr>
        <w:t>March 25</w:t>
      </w:r>
      <w:r w:rsidRPr="0043707F">
        <w:rPr>
          <w:rFonts w:ascii="Calibri" w:hAnsi="Calibri"/>
          <w:snapToGrid w:val="0"/>
          <w:sz w:val="28"/>
          <w:szCs w:val="28"/>
          <w:u w:val="single"/>
        </w:rPr>
        <w:t>, 201</w:t>
      </w:r>
      <w:r>
        <w:rPr>
          <w:rFonts w:ascii="Calibri" w:hAnsi="Calibri"/>
          <w:snapToGrid w:val="0"/>
          <w:sz w:val="28"/>
          <w:szCs w:val="28"/>
          <w:u w:val="single"/>
        </w:rPr>
        <w:t>5</w:t>
      </w:r>
    </w:p>
    <w:p w:rsidR="00741A8E" w:rsidRDefault="00741A8E" w:rsidP="001E1A8D">
      <w:pPr>
        <w:jc w:val="center"/>
        <w:rPr>
          <w:b/>
        </w:rPr>
      </w:pPr>
      <w:r>
        <w:rPr>
          <w:b/>
        </w:rPr>
        <w:t>Next Generation Sequencing (NGS)</w:t>
      </w:r>
      <w:r w:rsidR="0024492C">
        <w:rPr>
          <w:b/>
        </w:rPr>
        <w:t xml:space="preserve"> Illumina</w:t>
      </w:r>
      <w:r>
        <w:rPr>
          <w:b/>
        </w:rPr>
        <w:t xml:space="preserve"> </w:t>
      </w:r>
      <w:r w:rsidR="003A43F0">
        <w:rPr>
          <w:b/>
        </w:rPr>
        <w:t xml:space="preserve">TruSight </w:t>
      </w:r>
      <w:r>
        <w:rPr>
          <w:b/>
        </w:rPr>
        <w:t>Tumor Panel</w:t>
      </w:r>
    </w:p>
    <w:p w:rsidR="006335A8" w:rsidRDefault="006335A8" w:rsidP="00741A8E">
      <w:r>
        <w:t>For analysis of mutations in solid tumors</w:t>
      </w:r>
      <w:r w:rsidR="004526F0">
        <w:t>,</w:t>
      </w:r>
      <w:r>
        <w:t xml:space="preserve"> the Medical Laboratories currently offer</w:t>
      </w:r>
      <w:r w:rsidR="004526F0">
        <w:t>s</w:t>
      </w:r>
      <w:r>
        <w:t xml:space="preserve"> a number of individual tests that are performed by pyrosequencing.  These tests include KRAS (codon 12-13), KRAS (codon 61), EGFR, NRAS, BRAF, IDH1/IDH2, and MGMT (methylation assay).  Often, physicians want a number of genes analyzed on the same sample to guide clinical decisions.  With the advent of NGS, the Clinical Genomics Laboratory is now able to perform analysis on a large panel of genes with a limited amount of biopsy material.</w:t>
      </w:r>
    </w:p>
    <w:p w:rsidR="003A43F0" w:rsidRDefault="003A43F0" w:rsidP="00741A8E">
      <w:r>
        <w:t xml:space="preserve">The </w:t>
      </w:r>
      <w:r w:rsidR="0024492C">
        <w:t>clinically relevant and actionable genes</w:t>
      </w:r>
      <w:r>
        <w:t xml:space="preserve"> were carefully selected to include 26 genes and 174 amplicons </w:t>
      </w:r>
      <w:r w:rsidR="0024492C">
        <w:t>referenced</w:t>
      </w:r>
      <w:r>
        <w:t xml:space="preserve"> from CAP and NCCN guidelines, relevant publications, and late-phase pharmaceutical clinical trials.  The TruSight Tumor </w:t>
      </w:r>
      <w:r w:rsidR="00915278">
        <w:t>P</w:t>
      </w:r>
      <w:r>
        <w:t xml:space="preserve">anel provides coverage of </w:t>
      </w:r>
      <w:r w:rsidR="003C4D22" w:rsidRPr="003C4D22">
        <w:t>somatic mutations in key cancer genes</w:t>
      </w:r>
      <w:r w:rsidR="003C4D22">
        <w:t xml:space="preserve"> described in the COSMIC database</w:t>
      </w:r>
      <w:r w:rsidR="00120FC1">
        <w:t>. The coverage</w:t>
      </w:r>
      <w:r w:rsidR="003C4D22">
        <w:t xml:space="preserve"> includ</w:t>
      </w:r>
      <w:r w:rsidR="00120FC1">
        <w:t>es</w:t>
      </w:r>
      <w:r w:rsidR="003C4D22">
        <w:t xml:space="preserve"> </w:t>
      </w:r>
      <w:r w:rsidR="006D794A">
        <w:t>specific exo</w:t>
      </w:r>
      <w:r>
        <w:t>ns</w:t>
      </w:r>
      <w:r w:rsidR="00732583">
        <w:t xml:space="preserve"> of </w:t>
      </w:r>
      <w:r w:rsidR="006D794A">
        <w:t xml:space="preserve">relevant </w:t>
      </w:r>
      <w:r w:rsidR="00732583">
        <w:t>oncogenes</w:t>
      </w:r>
      <w:r>
        <w:t xml:space="preserve"> </w:t>
      </w:r>
      <w:r w:rsidR="00732583">
        <w:t xml:space="preserve">for which </w:t>
      </w:r>
      <w:r>
        <w:t xml:space="preserve">variation has been cataloged in the database and all exons in </w:t>
      </w:r>
      <w:r w:rsidR="006D794A">
        <w:t xml:space="preserve">several </w:t>
      </w:r>
      <w:r>
        <w:t>tumor suppressor genes.  This provides a more comprehensive view of somatic variations in solid tumors including lung, colon, gastric and ovarian</w:t>
      </w:r>
      <w:r w:rsidR="00732583">
        <w:t xml:space="preserve"> cancers and melanoma</w:t>
      </w:r>
      <w:r>
        <w:t>.  The genes</w:t>
      </w:r>
      <w:r w:rsidR="0024492C">
        <w:t xml:space="preserve"> in the panel</w:t>
      </w:r>
      <w:r>
        <w:t xml:space="preserve"> are:</w:t>
      </w:r>
    </w:p>
    <w:tbl>
      <w:tblPr>
        <w:tblStyle w:val="TableGrid"/>
        <w:tblW w:w="0" w:type="auto"/>
        <w:tblLook w:val="04A0"/>
      </w:tblPr>
      <w:tblGrid>
        <w:gridCol w:w="1596"/>
        <w:gridCol w:w="1596"/>
        <w:gridCol w:w="1596"/>
        <w:gridCol w:w="1596"/>
        <w:gridCol w:w="1596"/>
        <w:gridCol w:w="1596"/>
      </w:tblGrid>
      <w:tr w:rsidR="00741A8E" w:rsidTr="00741A8E">
        <w:tc>
          <w:tcPr>
            <w:tcW w:w="1596" w:type="dxa"/>
          </w:tcPr>
          <w:p w:rsidR="00741A8E" w:rsidRDefault="00741A8E" w:rsidP="00741A8E">
            <w:pPr>
              <w:jc w:val="center"/>
            </w:pPr>
            <w:r>
              <w:t>AKT1</w:t>
            </w:r>
          </w:p>
        </w:tc>
        <w:tc>
          <w:tcPr>
            <w:tcW w:w="1596" w:type="dxa"/>
          </w:tcPr>
          <w:p w:rsidR="00741A8E" w:rsidRDefault="00741A8E" w:rsidP="00741A8E">
            <w:pPr>
              <w:jc w:val="center"/>
            </w:pPr>
            <w:r>
              <w:t>CTNNB1</w:t>
            </w:r>
          </w:p>
        </w:tc>
        <w:tc>
          <w:tcPr>
            <w:tcW w:w="1596" w:type="dxa"/>
          </w:tcPr>
          <w:p w:rsidR="00741A8E" w:rsidRDefault="003A43F0" w:rsidP="00741A8E">
            <w:pPr>
              <w:jc w:val="center"/>
            </w:pPr>
            <w:r>
              <w:t>FOXL2</w:t>
            </w:r>
          </w:p>
        </w:tc>
        <w:tc>
          <w:tcPr>
            <w:tcW w:w="1596" w:type="dxa"/>
          </w:tcPr>
          <w:p w:rsidR="00741A8E" w:rsidRDefault="003A43F0" w:rsidP="00741A8E">
            <w:pPr>
              <w:jc w:val="center"/>
            </w:pPr>
            <w:r>
              <w:t>MAP2K1</w:t>
            </w:r>
          </w:p>
        </w:tc>
        <w:tc>
          <w:tcPr>
            <w:tcW w:w="1596" w:type="dxa"/>
          </w:tcPr>
          <w:p w:rsidR="00741A8E" w:rsidRDefault="003A43F0" w:rsidP="00741A8E">
            <w:pPr>
              <w:jc w:val="center"/>
            </w:pPr>
            <w:r>
              <w:t>PIK3CA</w:t>
            </w:r>
          </w:p>
        </w:tc>
        <w:tc>
          <w:tcPr>
            <w:tcW w:w="1596" w:type="dxa"/>
          </w:tcPr>
          <w:p w:rsidR="00741A8E" w:rsidRDefault="003A43F0" w:rsidP="00741A8E">
            <w:pPr>
              <w:jc w:val="center"/>
            </w:pPr>
            <w:r>
              <w:t>TP53</w:t>
            </w:r>
          </w:p>
        </w:tc>
      </w:tr>
      <w:tr w:rsidR="00741A8E" w:rsidTr="00741A8E">
        <w:tc>
          <w:tcPr>
            <w:tcW w:w="1596" w:type="dxa"/>
          </w:tcPr>
          <w:p w:rsidR="00741A8E" w:rsidRDefault="00741A8E" w:rsidP="00741A8E">
            <w:pPr>
              <w:jc w:val="center"/>
            </w:pPr>
            <w:r>
              <w:t>ALK</w:t>
            </w:r>
          </w:p>
        </w:tc>
        <w:tc>
          <w:tcPr>
            <w:tcW w:w="1596" w:type="dxa"/>
          </w:tcPr>
          <w:p w:rsidR="00741A8E" w:rsidRDefault="00741A8E" w:rsidP="00741A8E">
            <w:pPr>
              <w:jc w:val="center"/>
            </w:pPr>
            <w:r>
              <w:t>EGFR</w:t>
            </w:r>
          </w:p>
        </w:tc>
        <w:tc>
          <w:tcPr>
            <w:tcW w:w="1596" w:type="dxa"/>
          </w:tcPr>
          <w:p w:rsidR="00741A8E" w:rsidRDefault="003A43F0" w:rsidP="00741A8E">
            <w:pPr>
              <w:jc w:val="center"/>
            </w:pPr>
            <w:r>
              <w:t>GNAQ</w:t>
            </w:r>
          </w:p>
        </w:tc>
        <w:tc>
          <w:tcPr>
            <w:tcW w:w="1596" w:type="dxa"/>
          </w:tcPr>
          <w:p w:rsidR="00741A8E" w:rsidRDefault="003A43F0" w:rsidP="00741A8E">
            <w:pPr>
              <w:jc w:val="center"/>
            </w:pPr>
            <w:r>
              <w:t>MET</w:t>
            </w:r>
          </w:p>
        </w:tc>
        <w:tc>
          <w:tcPr>
            <w:tcW w:w="1596" w:type="dxa"/>
          </w:tcPr>
          <w:p w:rsidR="00741A8E" w:rsidRDefault="003A43F0" w:rsidP="00741A8E">
            <w:pPr>
              <w:jc w:val="center"/>
            </w:pPr>
            <w:r>
              <w:t>PTEN</w:t>
            </w:r>
          </w:p>
        </w:tc>
        <w:tc>
          <w:tcPr>
            <w:tcW w:w="1596" w:type="dxa"/>
          </w:tcPr>
          <w:p w:rsidR="00741A8E" w:rsidRDefault="00741A8E" w:rsidP="00741A8E">
            <w:pPr>
              <w:jc w:val="center"/>
            </w:pPr>
          </w:p>
        </w:tc>
      </w:tr>
      <w:tr w:rsidR="00741A8E" w:rsidTr="00741A8E">
        <w:tc>
          <w:tcPr>
            <w:tcW w:w="1596" w:type="dxa"/>
          </w:tcPr>
          <w:p w:rsidR="00741A8E" w:rsidRDefault="00741A8E" w:rsidP="00741A8E">
            <w:pPr>
              <w:jc w:val="center"/>
            </w:pPr>
            <w:r>
              <w:t>APC</w:t>
            </w:r>
          </w:p>
        </w:tc>
        <w:tc>
          <w:tcPr>
            <w:tcW w:w="1596" w:type="dxa"/>
          </w:tcPr>
          <w:p w:rsidR="00741A8E" w:rsidRDefault="003A43F0" w:rsidP="00741A8E">
            <w:pPr>
              <w:jc w:val="center"/>
            </w:pPr>
            <w:r>
              <w:t>ERBB2</w:t>
            </w:r>
          </w:p>
        </w:tc>
        <w:tc>
          <w:tcPr>
            <w:tcW w:w="1596" w:type="dxa"/>
          </w:tcPr>
          <w:p w:rsidR="00741A8E" w:rsidRDefault="003A43F0" w:rsidP="00741A8E">
            <w:pPr>
              <w:jc w:val="center"/>
            </w:pPr>
            <w:r>
              <w:t>GNAS</w:t>
            </w:r>
          </w:p>
        </w:tc>
        <w:tc>
          <w:tcPr>
            <w:tcW w:w="1596" w:type="dxa"/>
          </w:tcPr>
          <w:p w:rsidR="00741A8E" w:rsidRDefault="003A43F0" w:rsidP="00741A8E">
            <w:pPr>
              <w:jc w:val="center"/>
            </w:pPr>
            <w:r>
              <w:t>MSH6</w:t>
            </w:r>
          </w:p>
        </w:tc>
        <w:tc>
          <w:tcPr>
            <w:tcW w:w="1596" w:type="dxa"/>
          </w:tcPr>
          <w:p w:rsidR="00741A8E" w:rsidRDefault="003A43F0" w:rsidP="00741A8E">
            <w:pPr>
              <w:jc w:val="center"/>
            </w:pPr>
            <w:r>
              <w:t>SMAD4</w:t>
            </w:r>
          </w:p>
        </w:tc>
        <w:tc>
          <w:tcPr>
            <w:tcW w:w="1596" w:type="dxa"/>
          </w:tcPr>
          <w:p w:rsidR="00741A8E" w:rsidRDefault="00741A8E" w:rsidP="00741A8E">
            <w:pPr>
              <w:jc w:val="center"/>
            </w:pPr>
          </w:p>
        </w:tc>
      </w:tr>
      <w:tr w:rsidR="00741A8E" w:rsidTr="00741A8E">
        <w:tc>
          <w:tcPr>
            <w:tcW w:w="1596" w:type="dxa"/>
          </w:tcPr>
          <w:p w:rsidR="00741A8E" w:rsidRDefault="00741A8E" w:rsidP="00741A8E">
            <w:pPr>
              <w:jc w:val="center"/>
            </w:pPr>
            <w:r>
              <w:t>BRAF</w:t>
            </w:r>
          </w:p>
        </w:tc>
        <w:tc>
          <w:tcPr>
            <w:tcW w:w="1596" w:type="dxa"/>
          </w:tcPr>
          <w:p w:rsidR="00741A8E" w:rsidRDefault="003A43F0" w:rsidP="00741A8E">
            <w:pPr>
              <w:jc w:val="center"/>
            </w:pPr>
            <w:r>
              <w:t>FBXW7</w:t>
            </w:r>
          </w:p>
        </w:tc>
        <w:tc>
          <w:tcPr>
            <w:tcW w:w="1596" w:type="dxa"/>
          </w:tcPr>
          <w:p w:rsidR="00741A8E" w:rsidRDefault="003A43F0" w:rsidP="00741A8E">
            <w:pPr>
              <w:jc w:val="center"/>
            </w:pPr>
            <w:r>
              <w:t>KIT</w:t>
            </w:r>
          </w:p>
        </w:tc>
        <w:tc>
          <w:tcPr>
            <w:tcW w:w="1596" w:type="dxa"/>
          </w:tcPr>
          <w:p w:rsidR="00741A8E" w:rsidRDefault="003A43F0" w:rsidP="00741A8E">
            <w:pPr>
              <w:jc w:val="center"/>
            </w:pPr>
            <w:r>
              <w:t>NRAS</w:t>
            </w:r>
          </w:p>
        </w:tc>
        <w:tc>
          <w:tcPr>
            <w:tcW w:w="1596" w:type="dxa"/>
          </w:tcPr>
          <w:p w:rsidR="00741A8E" w:rsidRDefault="003A43F0" w:rsidP="00741A8E">
            <w:pPr>
              <w:jc w:val="center"/>
            </w:pPr>
            <w:r>
              <w:t>SRC</w:t>
            </w:r>
          </w:p>
        </w:tc>
        <w:tc>
          <w:tcPr>
            <w:tcW w:w="1596" w:type="dxa"/>
          </w:tcPr>
          <w:p w:rsidR="00741A8E" w:rsidRDefault="00741A8E" w:rsidP="00741A8E">
            <w:pPr>
              <w:jc w:val="center"/>
            </w:pPr>
          </w:p>
        </w:tc>
      </w:tr>
      <w:tr w:rsidR="00741A8E" w:rsidTr="00741A8E">
        <w:tc>
          <w:tcPr>
            <w:tcW w:w="1596" w:type="dxa"/>
          </w:tcPr>
          <w:p w:rsidR="00741A8E" w:rsidRDefault="00741A8E" w:rsidP="00741A8E">
            <w:pPr>
              <w:jc w:val="center"/>
            </w:pPr>
            <w:r>
              <w:t>CDH1</w:t>
            </w:r>
          </w:p>
        </w:tc>
        <w:tc>
          <w:tcPr>
            <w:tcW w:w="1596" w:type="dxa"/>
          </w:tcPr>
          <w:p w:rsidR="00741A8E" w:rsidRDefault="003A43F0" w:rsidP="00741A8E">
            <w:pPr>
              <w:jc w:val="center"/>
            </w:pPr>
            <w:r>
              <w:t>FGFR2</w:t>
            </w:r>
          </w:p>
        </w:tc>
        <w:tc>
          <w:tcPr>
            <w:tcW w:w="1596" w:type="dxa"/>
          </w:tcPr>
          <w:p w:rsidR="00741A8E" w:rsidRDefault="003A43F0" w:rsidP="00741A8E">
            <w:pPr>
              <w:jc w:val="center"/>
            </w:pPr>
            <w:r>
              <w:t>KRAS</w:t>
            </w:r>
          </w:p>
        </w:tc>
        <w:tc>
          <w:tcPr>
            <w:tcW w:w="1596" w:type="dxa"/>
          </w:tcPr>
          <w:p w:rsidR="00741A8E" w:rsidRDefault="003A43F0" w:rsidP="00741A8E">
            <w:pPr>
              <w:jc w:val="center"/>
            </w:pPr>
            <w:r>
              <w:t>PDGFRA</w:t>
            </w:r>
          </w:p>
        </w:tc>
        <w:tc>
          <w:tcPr>
            <w:tcW w:w="1596" w:type="dxa"/>
          </w:tcPr>
          <w:p w:rsidR="00741A8E" w:rsidRDefault="003A43F0" w:rsidP="00741A8E">
            <w:pPr>
              <w:jc w:val="center"/>
            </w:pPr>
            <w:r>
              <w:t>STK11</w:t>
            </w:r>
          </w:p>
        </w:tc>
        <w:tc>
          <w:tcPr>
            <w:tcW w:w="1596" w:type="dxa"/>
          </w:tcPr>
          <w:p w:rsidR="00741A8E" w:rsidRDefault="00741A8E" w:rsidP="00741A8E">
            <w:pPr>
              <w:jc w:val="center"/>
            </w:pPr>
          </w:p>
        </w:tc>
      </w:tr>
    </w:tbl>
    <w:p w:rsidR="00EE401D" w:rsidRDefault="00EE401D" w:rsidP="00741A8E"/>
    <w:p w:rsidR="004526F0" w:rsidRDefault="004526F0" w:rsidP="004526F0">
      <w:r>
        <w:t>Because the new panel provides a more comprehensive analysis of the targeted exons, covers multiple hotspots within each listed gene, has increased sensitivity, and may be more cost effective, whenever two or more genes included on the TruSight Tumor Panel are ordered in Epic for pyrosequencing, the request will default to the TruSight Tumor Panel.  In addition, existing pathology reflex panels for lung and colon cancers will default to the TruSight Tumor Panel.</w:t>
      </w:r>
    </w:p>
    <w:p w:rsidR="003A43F0" w:rsidRDefault="003A43F0" w:rsidP="00741A8E">
      <w:r>
        <w:t xml:space="preserve">The test is available in Epic under Genomic TruSight Tumor. </w:t>
      </w:r>
      <w:r w:rsidR="00915278">
        <w:t xml:space="preserve"> A request initiates pathologist review of slides from the sample to ensure adequacy (at least 40% tumor in the region of interest).  </w:t>
      </w:r>
      <w:r w:rsidR="00EE401D">
        <w:t>Turnaround time for results is 14 days from receipt of the tumor block</w:t>
      </w:r>
      <w:r w:rsidR="00732583">
        <w:t>.</w:t>
      </w:r>
      <w:r w:rsidR="002C7BC2">
        <w:t xml:space="preserve"> </w:t>
      </w:r>
      <w:r w:rsidR="00732583">
        <w:t xml:space="preserve">Results </w:t>
      </w:r>
      <w:r w:rsidR="00EE401D">
        <w:t>will be reported via CoPath and available in Epic.</w:t>
      </w:r>
    </w:p>
    <w:p w:rsidR="002D57DD" w:rsidRPr="00806148" w:rsidRDefault="000D4F81" w:rsidP="002D57DD">
      <w:pPr>
        <w:spacing w:after="0" w:line="240" w:lineRule="auto"/>
        <w:jc w:val="center"/>
        <w:rPr>
          <w:b/>
          <w:sz w:val="24"/>
          <w:szCs w:val="26"/>
        </w:rPr>
      </w:pPr>
      <w:r>
        <w:br w:type="page"/>
      </w:r>
      <w:r w:rsidR="002D57DD" w:rsidRPr="00806148">
        <w:rPr>
          <w:b/>
          <w:sz w:val="24"/>
          <w:szCs w:val="26"/>
        </w:rPr>
        <w:lastRenderedPageBreak/>
        <w:t>New Stool Transport Medium Available</w:t>
      </w:r>
    </w:p>
    <w:p w:rsidR="002D57DD" w:rsidRDefault="002D57DD" w:rsidP="002D57DD">
      <w:pPr>
        <w:spacing w:after="0" w:line="240" w:lineRule="auto"/>
      </w:pPr>
    </w:p>
    <w:p w:rsidR="002D57DD" w:rsidRDefault="002D57DD" w:rsidP="002D57DD">
      <w:pPr>
        <w:spacing w:after="0" w:line="240" w:lineRule="auto"/>
        <w:rPr>
          <w:rFonts w:cs="Arial"/>
          <w:noProof/>
        </w:rPr>
      </w:pPr>
      <w:r w:rsidRPr="00A960CF">
        <w:rPr>
          <w:b/>
        </w:rPr>
        <w:t>Para-Pak C&amp;S (Orange screw cap vial pictured</w:t>
      </w:r>
      <w:r>
        <w:rPr>
          <w:b/>
        </w:rPr>
        <w:t xml:space="preserve"> below</w:t>
      </w:r>
      <w:r w:rsidRPr="00A960CF">
        <w:rPr>
          <w:b/>
        </w:rPr>
        <w:t xml:space="preserve">) </w:t>
      </w:r>
      <w:r w:rsidRPr="00A960CF">
        <w:t>containing Cary Blair transport medium</w:t>
      </w:r>
      <w:r w:rsidRPr="00A960CF">
        <w:rPr>
          <w:rFonts w:cs="Arial"/>
          <w:noProof/>
        </w:rPr>
        <w:t xml:space="preserve"> is now availble for transport of stool samples to the UVA Clinical Microbiology Laboratory.  </w:t>
      </w:r>
    </w:p>
    <w:p w:rsidR="002D57DD" w:rsidRPr="00A960CF" w:rsidRDefault="002D57DD" w:rsidP="002D57DD">
      <w:pPr>
        <w:pStyle w:val="ListParagraph"/>
        <w:numPr>
          <w:ilvl w:val="0"/>
          <w:numId w:val="2"/>
        </w:numPr>
        <w:spacing w:after="0" w:line="240" w:lineRule="auto"/>
        <w:rPr>
          <w:rFonts w:cs="Arial"/>
          <w:noProof/>
        </w:rPr>
      </w:pPr>
      <w:r w:rsidRPr="00A960CF">
        <w:rPr>
          <w:rFonts w:cs="Arial"/>
          <w:b/>
          <w:noProof/>
        </w:rPr>
        <w:t xml:space="preserve">This medium is designed for use with the new </w:t>
      </w:r>
      <w:r>
        <w:rPr>
          <w:rFonts w:cs="Arial"/>
          <w:b/>
          <w:noProof/>
        </w:rPr>
        <w:t>“Community</w:t>
      </w:r>
      <w:r w:rsidRPr="00A960CF">
        <w:rPr>
          <w:rFonts w:cs="Arial"/>
          <w:b/>
          <w:noProof/>
        </w:rPr>
        <w:t xml:space="preserve"> Gastrointestinal Pathogens</w:t>
      </w:r>
      <w:r>
        <w:rPr>
          <w:rFonts w:cs="Arial"/>
          <w:b/>
          <w:noProof/>
        </w:rPr>
        <w:t xml:space="preserve"> PCR” ONLY</w:t>
      </w:r>
      <w:r w:rsidRPr="00A960CF">
        <w:rPr>
          <w:rFonts w:cs="Arial"/>
          <w:noProof/>
        </w:rPr>
        <w:t xml:space="preserve">.  </w:t>
      </w:r>
      <w:r>
        <w:rPr>
          <w:rFonts w:cs="Arial"/>
          <w:b/>
          <w:i/>
          <w:noProof/>
        </w:rPr>
        <w:t xml:space="preserve">Stool </w:t>
      </w:r>
      <w:r w:rsidRPr="006A5CF9">
        <w:rPr>
          <w:rFonts w:cs="Arial"/>
          <w:b/>
          <w:i/>
          <w:noProof/>
        </w:rPr>
        <w:t xml:space="preserve">must be </w:t>
      </w:r>
      <w:r w:rsidR="00247795">
        <w:rPr>
          <w:rFonts w:cs="Arial"/>
          <w:b/>
          <w:i/>
          <w:noProof/>
        </w:rPr>
        <w:t xml:space="preserve">added </w:t>
      </w:r>
      <w:r w:rsidRPr="006A5CF9">
        <w:rPr>
          <w:rFonts w:cs="Arial"/>
          <w:b/>
          <w:i/>
          <w:noProof/>
        </w:rPr>
        <w:t>up to</w:t>
      </w:r>
      <w:r w:rsidR="00247795">
        <w:rPr>
          <w:rFonts w:cs="Arial"/>
          <w:b/>
          <w:i/>
          <w:noProof/>
        </w:rPr>
        <w:t xml:space="preserve"> the</w:t>
      </w:r>
      <w:r w:rsidRPr="006A5CF9">
        <w:rPr>
          <w:rFonts w:cs="Arial"/>
          <w:b/>
          <w:i/>
          <w:noProof/>
        </w:rPr>
        <w:t xml:space="preserve"> indicated</w:t>
      </w:r>
      <w:r>
        <w:rPr>
          <w:rFonts w:cs="Arial"/>
          <w:b/>
          <w:i/>
          <w:noProof/>
        </w:rPr>
        <w:t xml:space="preserve"> line or sample will be rejected.  </w:t>
      </w:r>
    </w:p>
    <w:p w:rsidR="002D57DD" w:rsidRPr="00A960CF" w:rsidRDefault="002D57DD" w:rsidP="002D57DD">
      <w:pPr>
        <w:pStyle w:val="ListParagraph"/>
        <w:numPr>
          <w:ilvl w:val="0"/>
          <w:numId w:val="1"/>
        </w:numPr>
        <w:spacing w:after="0" w:line="240" w:lineRule="auto"/>
      </w:pPr>
      <w:r w:rsidRPr="00A960CF">
        <w:rPr>
          <w:rFonts w:cs="Arial"/>
          <w:noProof/>
        </w:rPr>
        <w:t>Ova and Parasite (O&amp;P) testing</w:t>
      </w:r>
      <w:r w:rsidR="00247795">
        <w:rPr>
          <w:rFonts w:cs="Arial"/>
          <w:noProof/>
        </w:rPr>
        <w:t xml:space="preserve"> by microscopy </w:t>
      </w:r>
      <w:r w:rsidRPr="00A960CF">
        <w:rPr>
          <w:rFonts w:cs="Arial"/>
          <w:noProof/>
        </w:rPr>
        <w:t xml:space="preserve">continues to require EcoFix preservative.  </w:t>
      </w:r>
    </w:p>
    <w:p w:rsidR="002D57DD" w:rsidRPr="00A960CF" w:rsidRDefault="005A2B46" w:rsidP="002D57DD">
      <w:pPr>
        <w:pStyle w:val="ListParagraph"/>
        <w:numPr>
          <w:ilvl w:val="0"/>
          <w:numId w:val="1"/>
        </w:numPr>
        <w:spacing w:after="0" w:line="240" w:lineRule="auto"/>
      </w:pPr>
      <w:r w:rsidRPr="00056A9C">
        <w:rPr>
          <w:rFonts w:cs="Arial"/>
          <w:i/>
          <w:noProof/>
        </w:rPr>
        <w:t>Clostridium difficile</w:t>
      </w:r>
      <w:r w:rsidR="002D57DD">
        <w:rPr>
          <w:rFonts w:cs="Arial"/>
          <w:noProof/>
        </w:rPr>
        <w:t xml:space="preserve"> PCR, </w:t>
      </w:r>
      <w:r w:rsidR="002D57DD" w:rsidRPr="00A960CF">
        <w:rPr>
          <w:rFonts w:cs="Arial"/>
          <w:noProof/>
        </w:rPr>
        <w:t>Fecal Lactoferrin</w:t>
      </w:r>
      <w:r w:rsidR="002D57DD">
        <w:rPr>
          <w:rFonts w:cs="Arial"/>
          <w:noProof/>
        </w:rPr>
        <w:t>, and Viral Culture</w:t>
      </w:r>
      <w:r w:rsidR="002D57DD" w:rsidRPr="00A960CF">
        <w:rPr>
          <w:rFonts w:cs="Arial"/>
          <w:noProof/>
        </w:rPr>
        <w:t xml:space="preserve"> continue to require raw stool submitted in a sterile, leak-proof container.  </w:t>
      </w:r>
      <w:r w:rsidR="00056A9C">
        <w:rPr>
          <w:rFonts w:cs="Arial"/>
          <w:b/>
          <w:noProof/>
        </w:rPr>
        <w:t>Inpatient units may send raw stool for O&amp;P.</w:t>
      </w:r>
    </w:p>
    <w:p w:rsidR="002D57DD" w:rsidRDefault="002D57DD" w:rsidP="002D57DD">
      <w:pPr>
        <w:spacing w:after="0" w:line="240" w:lineRule="auto"/>
      </w:pPr>
      <w:r w:rsidRPr="00A960CF">
        <w:t>Medial Center</w:t>
      </w:r>
      <w:r>
        <w:t xml:space="preserve"> units and clinics on site should contact the hospital storeroom to acquire transport medium.  Outpatient facilities can acquire transport medium through current supply chains via Laboratory Outreach.</w:t>
      </w:r>
    </w:p>
    <w:tbl>
      <w:tblPr>
        <w:tblStyle w:val="TableGrid"/>
        <w:tblW w:w="95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988"/>
        <w:gridCol w:w="3510"/>
        <w:gridCol w:w="3060"/>
      </w:tblGrid>
      <w:tr w:rsidR="00056A9C" w:rsidRPr="00BB418D" w:rsidTr="00973DD1">
        <w:tc>
          <w:tcPr>
            <w:tcW w:w="2988" w:type="dxa"/>
            <w:tcBorders>
              <w:top w:val="single" w:sz="4" w:space="0" w:color="auto"/>
              <w:left w:val="single" w:sz="4" w:space="0" w:color="auto"/>
              <w:right w:val="single" w:sz="4" w:space="0" w:color="auto"/>
            </w:tcBorders>
          </w:tcPr>
          <w:p w:rsidR="00056A9C" w:rsidRPr="00D16589" w:rsidRDefault="00056A9C" w:rsidP="00973DD1">
            <w:pPr>
              <w:tabs>
                <w:tab w:val="left" w:pos="2880"/>
              </w:tabs>
              <w:rPr>
                <w:b/>
                <w:sz w:val="18"/>
                <w:u w:val="single"/>
              </w:rPr>
            </w:pPr>
            <w:r w:rsidRPr="00D16589">
              <w:rPr>
                <w:rFonts w:cs="Arial"/>
                <w:b/>
                <w:noProof/>
                <w:u w:val="single"/>
              </w:rPr>
              <w:drawing>
                <wp:anchor distT="0" distB="0" distL="114300" distR="114300" simplePos="0" relativeHeight="251665408" behindDoc="0" locked="0" layoutInCell="1" allowOverlap="1">
                  <wp:simplePos x="0" y="0"/>
                  <wp:positionH relativeFrom="margin">
                    <wp:posOffset>1482471</wp:posOffset>
                  </wp:positionH>
                  <wp:positionV relativeFrom="margin">
                    <wp:posOffset>9525</wp:posOffset>
                  </wp:positionV>
                  <wp:extent cx="331470" cy="810260"/>
                  <wp:effectExtent l="0" t="0" r="0" b="8890"/>
                  <wp:wrapNone/>
                  <wp:docPr id="2" name="Picture 2" descr="Para-Pak&amp;reg; C&am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descr="Para-Pak&amp;reg; C&amp;S"/>
                          <pic:cNvPicPr>
                            <a:picLocks noChangeAspect="1" noChangeArrowheads="1"/>
                          </pic:cNvPicPr>
                        </pic:nvPicPr>
                        <pic:blipFill rotWithShape="1">
                          <a:blip r:embed="rId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30103" t="9865" r="29243" b="6727"/>
                          <a:stretch/>
                        </pic:blipFill>
                        <pic:spPr bwMode="auto">
                          <a:xfrm>
                            <a:off x="0" y="0"/>
                            <a:ext cx="331470" cy="810260"/>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anchor>
              </w:drawing>
            </w:r>
            <w:r w:rsidRPr="00D16589">
              <w:rPr>
                <w:b/>
                <w:sz w:val="18"/>
                <w:u w:val="single"/>
              </w:rPr>
              <w:t>Cary-Blair C&amp;S Preserved Stool</w:t>
            </w:r>
          </w:p>
        </w:tc>
        <w:tc>
          <w:tcPr>
            <w:tcW w:w="3510" w:type="dxa"/>
            <w:tcBorders>
              <w:top w:val="single" w:sz="4" w:space="0" w:color="auto"/>
              <w:left w:val="single" w:sz="4" w:space="0" w:color="auto"/>
              <w:right w:val="single" w:sz="4" w:space="0" w:color="auto"/>
            </w:tcBorders>
          </w:tcPr>
          <w:p w:rsidR="00056A9C" w:rsidRPr="00D16589" w:rsidRDefault="00056A9C" w:rsidP="00973DD1">
            <w:pPr>
              <w:tabs>
                <w:tab w:val="left" w:pos="2880"/>
              </w:tabs>
              <w:rPr>
                <w:b/>
                <w:sz w:val="18"/>
                <w:u w:val="single"/>
              </w:rPr>
            </w:pPr>
            <w:r w:rsidRPr="00D16589">
              <w:rPr>
                <w:rFonts w:ascii="Arial" w:hAnsi="Arial" w:cs="Arial"/>
                <w:b/>
                <w:noProof/>
                <w:color w:val="464646"/>
                <w:sz w:val="17"/>
                <w:szCs w:val="17"/>
                <w:u w:val="single"/>
              </w:rPr>
              <w:drawing>
                <wp:anchor distT="0" distB="0" distL="114300" distR="114300" simplePos="0" relativeHeight="251664384" behindDoc="0" locked="0" layoutInCell="1" allowOverlap="1">
                  <wp:simplePos x="0" y="0"/>
                  <wp:positionH relativeFrom="column">
                    <wp:posOffset>1753641</wp:posOffset>
                  </wp:positionH>
                  <wp:positionV relativeFrom="paragraph">
                    <wp:posOffset>13335</wp:posOffset>
                  </wp:positionV>
                  <wp:extent cx="343004" cy="759124"/>
                  <wp:effectExtent l="0" t="0" r="0" b="3175"/>
                  <wp:wrapNone/>
                  <wp:docPr id="4" name="Picture 4" descr="Para-Pak&amp;reg; EcoFix&amp;r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descr="Para-Pak&amp;reg; EcoFix&amp;reg;"/>
                          <pic:cNvPicPr>
                            <a:picLocks noChangeAspect="1" noChangeArrowheads="1"/>
                          </pic:cNvPicPr>
                        </pic:nvPicPr>
                        <pic:blipFill rotWithShape="1">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23530" t="9375" r="21012" b="9375"/>
                          <a:stretch/>
                        </pic:blipFill>
                        <pic:spPr bwMode="auto">
                          <a:xfrm>
                            <a:off x="0" y="0"/>
                            <a:ext cx="343004" cy="759124"/>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anchor>
              </w:drawing>
            </w:r>
            <w:proofErr w:type="spellStart"/>
            <w:r w:rsidRPr="00D16589">
              <w:rPr>
                <w:b/>
                <w:sz w:val="18"/>
                <w:u w:val="single"/>
              </w:rPr>
              <w:t>EcoFix</w:t>
            </w:r>
            <w:proofErr w:type="spellEnd"/>
            <w:r w:rsidRPr="00D16589">
              <w:rPr>
                <w:b/>
                <w:sz w:val="18"/>
                <w:u w:val="single"/>
              </w:rPr>
              <w:t xml:space="preserve"> Preserved Stool</w:t>
            </w:r>
          </w:p>
        </w:tc>
        <w:tc>
          <w:tcPr>
            <w:tcW w:w="3060" w:type="dxa"/>
            <w:tcBorders>
              <w:top w:val="single" w:sz="4" w:space="0" w:color="auto"/>
              <w:left w:val="single" w:sz="4" w:space="0" w:color="auto"/>
              <w:right w:val="single" w:sz="4" w:space="0" w:color="auto"/>
            </w:tcBorders>
          </w:tcPr>
          <w:p w:rsidR="00056A9C" w:rsidRPr="00D16589" w:rsidRDefault="00056A9C" w:rsidP="00973DD1">
            <w:pPr>
              <w:tabs>
                <w:tab w:val="left" w:pos="2880"/>
              </w:tabs>
              <w:rPr>
                <w:b/>
                <w:sz w:val="18"/>
                <w:u w:val="single"/>
              </w:rPr>
            </w:pPr>
            <w:r w:rsidRPr="00D16589">
              <w:rPr>
                <w:b/>
                <w:noProof/>
                <w:u w:val="single"/>
              </w:rPr>
              <w:drawing>
                <wp:anchor distT="0" distB="0" distL="114300" distR="114300" simplePos="0" relativeHeight="251666432" behindDoc="0" locked="0" layoutInCell="1" allowOverlap="1">
                  <wp:simplePos x="0" y="0"/>
                  <wp:positionH relativeFrom="column">
                    <wp:posOffset>1253490</wp:posOffset>
                  </wp:positionH>
                  <wp:positionV relativeFrom="paragraph">
                    <wp:posOffset>70188</wp:posOffset>
                  </wp:positionV>
                  <wp:extent cx="586105" cy="758825"/>
                  <wp:effectExtent l="0" t="0" r="4445" b="3175"/>
                  <wp:wrapNone/>
                  <wp:docPr id="7" name="Picture 4"/>
                  <wp:cNvGraphicFramePr/>
                  <a:graphic xmlns:a="http://schemas.openxmlformats.org/drawingml/2006/main">
                    <a:graphicData uri="http://schemas.openxmlformats.org/drawingml/2006/picture">
                      <pic:pic xmlns:pic="http://schemas.openxmlformats.org/drawingml/2006/picture">
                        <pic:nvPicPr>
                          <pic:cNvPr id="5" name="Picture 4"/>
                          <pic:cNvPicPr/>
                        </pic:nvPicPr>
                        <pic:blipFill rotWithShape="1">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7415" t="5925" r="5508" b="6482"/>
                          <a:stretch/>
                        </pic:blipFill>
                        <pic:spPr bwMode="auto">
                          <a:xfrm>
                            <a:off x="0" y="0"/>
                            <a:ext cx="586105" cy="758825"/>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anchor>
              </w:drawing>
            </w:r>
            <w:r w:rsidRPr="00D16589">
              <w:rPr>
                <w:b/>
                <w:sz w:val="18"/>
                <w:u w:val="single"/>
              </w:rPr>
              <w:t>Raw Stool</w:t>
            </w:r>
          </w:p>
        </w:tc>
      </w:tr>
      <w:tr w:rsidR="00056A9C" w:rsidRPr="00BB418D" w:rsidTr="00973DD1">
        <w:tc>
          <w:tcPr>
            <w:tcW w:w="2988" w:type="dxa"/>
            <w:tcBorders>
              <w:left w:val="single" w:sz="4" w:space="0" w:color="auto"/>
              <w:right w:val="single" w:sz="4" w:space="0" w:color="auto"/>
            </w:tcBorders>
          </w:tcPr>
          <w:p w:rsidR="00056A9C" w:rsidRPr="00BB418D" w:rsidRDefault="00056A9C" w:rsidP="00973DD1">
            <w:pPr>
              <w:rPr>
                <w:sz w:val="18"/>
              </w:rPr>
            </w:pPr>
            <w:r w:rsidRPr="00BB418D">
              <w:rPr>
                <w:sz w:val="18"/>
              </w:rPr>
              <w:t>Community</w:t>
            </w:r>
            <w:r>
              <w:rPr>
                <w:sz w:val="18"/>
              </w:rPr>
              <w:t>-</w:t>
            </w:r>
            <w:r w:rsidRPr="00BB418D">
              <w:rPr>
                <w:sz w:val="18"/>
              </w:rPr>
              <w:t>acquired GI</w:t>
            </w:r>
          </w:p>
        </w:tc>
        <w:tc>
          <w:tcPr>
            <w:tcW w:w="3510" w:type="dxa"/>
            <w:tcBorders>
              <w:left w:val="single" w:sz="4" w:space="0" w:color="auto"/>
              <w:right w:val="single" w:sz="4" w:space="0" w:color="auto"/>
            </w:tcBorders>
          </w:tcPr>
          <w:p w:rsidR="00056A9C" w:rsidRPr="00BB418D" w:rsidRDefault="00056A9C" w:rsidP="00973DD1">
            <w:pPr>
              <w:rPr>
                <w:sz w:val="18"/>
              </w:rPr>
            </w:pPr>
            <w:r w:rsidRPr="00BB418D">
              <w:rPr>
                <w:sz w:val="18"/>
              </w:rPr>
              <w:t>Ova and Parasite Exam</w:t>
            </w:r>
            <w:r>
              <w:rPr>
                <w:sz w:val="18"/>
              </w:rPr>
              <w:t xml:space="preserve"> (O&amp;P)</w:t>
            </w:r>
          </w:p>
        </w:tc>
        <w:tc>
          <w:tcPr>
            <w:tcW w:w="3060" w:type="dxa"/>
            <w:tcBorders>
              <w:left w:val="single" w:sz="4" w:space="0" w:color="auto"/>
              <w:right w:val="single" w:sz="4" w:space="0" w:color="auto"/>
            </w:tcBorders>
          </w:tcPr>
          <w:p w:rsidR="00056A9C" w:rsidRPr="00BB418D" w:rsidRDefault="00056A9C" w:rsidP="00973DD1">
            <w:pPr>
              <w:rPr>
                <w:sz w:val="18"/>
              </w:rPr>
            </w:pPr>
            <w:r w:rsidRPr="00D16589">
              <w:rPr>
                <w:i/>
                <w:sz w:val="18"/>
              </w:rPr>
              <w:t>Clostridium difficile</w:t>
            </w:r>
            <w:r w:rsidRPr="00BB418D">
              <w:rPr>
                <w:sz w:val="18"/>
              </w:rPr>
              <w:t xml:space="preserve"> PCR </w:t>
            </w:r>
          </w:p>
        </w:tc>
      </w:tr>
      <w:tr w:rsidR="00056A9C" w:rsidRPr="00BB418D" w:rsidTr="00973DD1">
        <w:tc>
          <w:tcPr>
            <w:tcW w:w="2988" w:type="dxa"/>
            <w:tcBorders>
              <w:left w:val="single" w:sz="4" w:space="0" w:color="auto"/>
              <w:right w:val="single" w:sz="4" w:space="0" w:color="auto"/>
            </w:tcBorders>
          </w:tcPr>
          <w:p w:rsidR="00056A9C" w:rsidRPr="00BB418D" w:rsidRDefault="00056A9C" w:rsidP="00973DD1">
            <w:pPr>
              <w:rPr>
                <w:sz w:val="18"/>
              </w:rPr>
            </w:pPr>
            <w:r w:rsidRPr="00BB418D">
              <w:rPr>
                <w:sz w:val="18"/>
              </w:rPr>
              <w:t xml:space="preserve">Pathogen </w:t>
            </w:r>
            <w:r>
              <w:rPr>
                <w:sz w:val="18"/>
              </w:rPr>
              <w:t>Panel</w:t>
            </w:r>
            <w:r w:rsidRPr="00BB418D">
              <w:rPr>
                <w:sz w:val="18"/>
              </w:rPr>
              <w:t xml:space="preserve"> </w:t>
            </w:r>
            <w:r>
              <w:rPr>
                <w:sz w:val="18"/>
              </w:rPr>
              <w:t xml:space="preserve">by </w:t>
            </w:r>
            <w:r w:rsidRPr="00BB418D">
              <w:rPr>
                <w:sz w:val="18"/>
              </w:rPr>
              <w:t>PCR</w:t>
            </w:r>
            <w:r>
              <w:rPr>
                <w:sz w:val="18"/>
              </w:rPr>
              <w:t xml:space="preserve"> </w:t>
            </w:r>
          </w:p>
        </w:tc>
        <w:tc>
          <w:tcPr>
            <w:tcW w:w="3510" w:type="dxa"/>
            <w:tcBorders>
              <w:left w:val="single" w:sz="4" w:space="0" w:color="auto"/>
              <w:right w:val="single" w:sz="4" w:space="0" w:color="auto"/>
            </w:tcBorders>
          </w:tcPr>
          <w:p w:rsidR="00056A9C" w:rsidRPr="00460BFC" w:rsidRDefault="00056A9C" w:rsidP="00973DD1">
            <w:pPr>
              <w:rPr>
                <w:b/>
                <w:sz w:val="18"/>
              </w:rPr>
            </w:pPr>
            <w:r w:rsidRPr="00460BFC">
              <w:rPr>
                <w:b/>
                <w:sz w:val="18"/>
              </w:rPr>
              <w:t xml:space="preserve">(for </w:t>
            </w:r>
            <w:proofErr w:type="spellStart"/>
            <w:r w:rsidRPr="00460BFC">
              <w:rPr>
                <w:b/>
                <w:i/>
                <w:sz w:val="18"/>
              </w:rPr>
              <w:t>Entamoeba</w:t>
            </w:r>
            <w:proofErr w:type="spellEnd"/>
            <w:r w:rsidRPr="00460BFC">
              <w:rPr>
                <w:b/>
                <w:i/>
                <w:sz w:val="18"/>
              </w:rPr>
              <w:t xml:space="preserve"> </w:t>
            </w:r>
            <w:proofErr w:type="spellStart"/>
            <w:r w:rsidRPr="00460BFC">
              <w:rPr>
                <w:b/>
                <w:i/>
                <w:sz w:val="18"/>
              </w:rPr>
              <w:t>histolytica</w:t>
            </w:r>
            <w:proofErr w:type="spellEnd"/>
            <w:r>
              <w:rPr>
                <w:b/>
                <w:i/>
                <w:sz w:val="18"/>
              </w:rPr>
              <w:t>,</w:t>
            </w:r>
            <w:r w:rsidRPr="00460BFC">
              <w:rPr>
                <w:b/>
                <w:sz w:val="18"/>
              </w:rPr>
              <w:t xml:space="preserve"> </w:t>
            </w:r>
            <w:proofErr w:type="spellStart"/>
            <w:r w:rsidRPr="00460BFC">
              <w:rPr>
                <w:b/>
                <w:i/>
                <w:sz w:val="18"/>
              </w:rPr>
              <w:t>Giardia</w:t>
            </w:r>
            <w:proofErr w:type="spellEnd"/>
            <w:r w:rsidRPr="00460BFC">
              <w:rPr>
                <w:b/>
                <w:sz w:val="18"/>
              </w:rPr>
              <w:t xml:space="preserve">, </w:t>
            </w:r>
          </w:p>
        </w:tc>
        <w:tc>
          <w:tcPr>
            <w:tcW w:w="3060" w:type="dxa"/>
            <w:tcBorders>
              <w:left w:val="single" w:sz="4" w:space="0" w:color="auto"/>
              <w:right w:val="single" w:sz="4" w:space="0" w:color="auto"/>
            </w:tcBorders>
          </w:tcPr>
          <w:p w:rsidR="00056A9C" w:rsidRPr="00BB418D" w:rsidRDefault="00056A9C" w:rsidP="00973DD1">
            <w:pPr>
              <w:rPr>
                <w:sz w:val="18"/>
              </w:rPr>
            </w:pPr>
            <w:r w:rsidRPr="00BB418D">
              <w:rPr>
                <w:sz w:val="18"/>
              </w:rPr>
              <w:t xml:space="preserve">Fecal </w:t>
            </w:r>
            <w:proofErr w:type="spellStart"/>
            <w:r w:rsidRPr="00BB418D">
              <w:rPr>
                <w:sz w:val="18"/>
              </w:rPr>
              <w:t>Lactoferrin</w:t>
            </w:r>
            <w:proofErr w:type="spellEnd"/>
          </w:p>
        </w:tc>
      </w:tr>
      <w:tr w:rsidR="00056A9C" w:rsidRPr="00BB418D" w:rsidTr="00973DD1">
        <w:tc>
          <w:tcPr>
            <w:tcW w:w="2988" w:type="dxa"/>
            <w:tcBorders>
              <w:left w:val="single" w:sz="4" w:space="0" w:color="auto"/>
              <w:right w:val="single" w:sz="4" w:space="0" w:color="auto"/>
            </w:tcBorders>
          </w:tcPr>
          <w:p w:rsidR="00056A9C" w:rsidRPr="00BB418D" w:rsidRDefault="00056A9C" w:rsidP="00973DD1">
            <w:pPr>
              <w:rPr>
                <w:sz w:val="18"/>
              </w:rPr>
            </w:pPr>
            <w:r>
              <w:rPr>
                <w:sz w:val="18"/>
              </w:rPr>
              <w:t xml:space="preserve">(see individual targets </w:t>
            </w:r>
          </w:p>
        </w:tc>
        <w:tc>
          <w:tcPr>
            <w:tcW w:w="3510" w:type="dxa"/>
            <w:tcBorders>
              <w:left w:val="single" w:sz="4" w:space="0" w:color="auto"/>
              <w:right w:val="single" w:sz="4" w:space="0" w:color="auto"/>
            </w:tcBorders>
          </w:tcPr>
          <w:p w:rsidR="00056A9C" w:rsidRPr="00460BFC" w:rsidRDefault="00056A9C" w:rsidP="00973DD1">
            <w:pPr>
              <w:rPr>
                <w:b/>
                <w:sz w:val="18"/>
              </w:rPr>
            </w:pPr>
            <w:r w:rsidRPr="00460BFC">
              <w:rPr>
                <w:b/>
                <w:i/>
                <w:sz w:val="18"/>
              </w:rPr>
              <w:t>Cryptosporidium</w:t>
            </w:r>
            <w:r w:rsidRPr="00460BFC">
              <w:rPr>
                <w:b/>
                <w:sz w:val="18"/>
              </w:rPr>
              <w:t>,</w:t>
            </w:r>
            <w:r>
              <w:rPr>
                <w:b/>
                <w:sz w:val="18"/>
              </w:rPr>
              <w:t xml:space="preserve"> </w:t>
            </w:r>
            <w:r w:rsidRPr="00460BFC">
              <w:rPr>
                <w:b/>
                <w:sz w:val="18"/>
              </w:rPr>
              <w:t xml:space="preserve">and </w:t>
            </w:r>
            <w:proofErr w:type="spellStart"/>
            <w:r w:rsidRPr="00460BFC">
              <w:rPr>
                <w:b/>
                <w:i/>
                <w:sz w:val="18"/>
              </w:rPr>
              <w:t>Cyclospora</w:t>
            </w:r>
            <w:proofErr w:type="spellEnd"/>
          </w:p>
        </w:tc>
        <w:tc>
          <w:tcPr>
            <w:tcW w:w="3060" w:type="dxa"/>
            <w:tcBorders>
              <w:left w:val="single" w:sz="4" w:space="0" w:color="auto"/>
              <w:right w:val="single" w:sz="4" w:space="0" w:color="auto"/>
            </w:tcBorders>
          </w:tcPr>
          <w:p w:rsidR="00056A9C" w:rsidRPr="00BB418D" w:rsidRDefault="00056A9C" w:rsidP="00973DD1">
            <w:pPr>
              <w:rPr>
                <w:sz w:val="18"/>
              </w:rPr>
            </w:pPr>
            <w:r w:rsidRPr="00BB418D">
              <w:rPr>
                <w:sz w:val="18"/>
              </w:rPr>
              <w:t>Adenovirus Culture</w:t>
            </w:r>
          </w:p>
        </w:tc>
      </w:tr>
      <w:tr w:rsidR="00056A9C" w:rsidRPr="00BB418D" w:rsidTr="00973DD1">
        <w:tc>
          <w:tcPr>
            <w:tcW w:w="2988" w:type="dxa"/>
            <w:tcBorders>
              <w:left w:val="single" w:sz="4" w:space="0" w:color="auto"/>
              <w:right w:val="single" w:sz="4" w:space="0" w:color="auto"/>
            </w:tcBorders>
          </w:tcPr>
          <w:p w:rsidR="00056A9C" w:rsidRPr="00BB418D" w:rsidRDefault="00056A9C" w:rsidP="00973DD1">
            <w:pPr>
              <w:rPr>
                <w:sz w:val="18"/>
              </w:rPr>
            </w:pPr>
            <w:r>
              <w:rPr>
                <w:sz w:val="18"/>
              </w:rPr>
              <w:t>listed below)</w:t>
            </w:r>
          </w:p>
        </w:tc>
        <w:tc>
          <w:tcPr>
            <w:tcW w:w="3510" w:type="dxa"/>
            <w:tcBorders>
              <w:left w:val="single" w:sz="4" w:space="0" w:color="auto"/>
              <w:right w:val="single" w:sz="4" w:space="0" w:color="auto"/>
            </w:tcBorders>
          </w:tcPr>
          <w:p w:rsidR="00056A9C" w:rsidRPr="00460BFC" w:rsidRDefault="00056A9C" w:rsidP="00973DD1">
            <w:pPr>
              <w:rPr>
                <w:b/>
                <w:sz w:val="18"/>
              </w:rPr>
            </w:pPr>
            <w:r w:rsidRPr="00460BFC">
              <w:rPr>
                <w:b/>
                <w:sz w:val="18"/>
              </w:rPr>
              <w:t>please order the GI Pathogen Panel</w:t>
            </w:r>
          </w:p>
        </w:tc>
        <w:tc>
          <w:tcPr>
            <w:tcW w:w="3060" w:type="dxa"/>
            <w:tcBorders>
              <w:left w:val="single" w:sz="4" w:space="0" w:color="auto"/>
              <w:right w:val="single" w:sz="4" w:space="0" w:color="auto"/>
            </w:tcBorders>
          </w:tcPr>
          <w:p w:rsidR="00056A9C" w:rsidRPr="00BB418D" w:rsidRDefault="00056A9C" w:rsidP="00973DD1">
            <w:pPr>
              <w:rPr>
                <w:sz w:val="18"/>
              </w:rPr>
            </w:pPr>
            <w:r w:rsidRPr="00BB418D">
              <w:rPr>
                <w:sz w:val="18"/>
              </w:rPr>
              <w:t>Cytomegalovirus Culture</w:t>
            </w:r>
          </w:p>
        </w:tc>
      </w:tr>
      <w:tr w:rsidR="00056A9C" w:rsidRPr="00BB418D" w:rsidTr="00973DD1">
        <w:tc>
          <w:tcPr>
            <w:tcW w:w="2988" w:type="dxa"/>
            <w:tcBorders>
              <w:left w:val="single" w:sz="4" w:space="0" w:color="auto"/>
              <w:bottom w:val="single" w:sz="4" w:space="0" w:color="auto"/>
              <w:right w:val="single" w:sz="4" w:space="0" w:color="auto"/>
            </w:tcBorders>
          </w:tcPr>
          <w:p w:rsidR="00056A9C" w:rsidRPr="00BB418D" w:rsidRDefault="00056A9C" w:rsidP="00973DD1">
            <w:pPr>
              <w:rPr>
                <w:sz w:val="18"/>
              </w:rPr>
            </w:pPr>
          </w:p>
        </w:tc>
        <w:tc>
          <w:tcPr>
            <w:tcW w:w="3510" w:type="dxa"/>
            <w:tcBorders>
              <w:left w:val="single" w:sz="4" w:space="0" w:color="auto"/>
              <w:bottom w:val="single" w:sz="4" w:space="0" w:color="auto"/>
              <w:right w:val="single" w:sz="4" w:space="0" w:color="auto"/>
            </w:tcBorders>
          </w:tcPr>
          <w:p w:rsidR="00056A9C" w:rsidRPr="00BB418D" w:rsidRDefault="00056A9C" w:rsidP="00973DD1">
            <w:pPr>
              <w:rPr>
                <w:sz w:val="18"/>
              </w:rPr>
            </w:pPr>
            <w:r>
              <w:rPr>
                <w:b/>
                <w:sz w:val="18"/>
              </w:rPr>
              <w:t xml:space="preserve">by </w:t>
            </w:r>
            <w:r w:rsidRPr="006111DA">
              <w:rPr>
                <w:b/>
                <w:sz w:val="18"/>
              </w:rPr>
              <w:t>PCR</w:t>
            </w:r>
            <w:r>
              <w:rPr>
                <w:b/>
                <w:sz w:val="18"/>
              </w:rPr>
              <w:t xml:space="preserve"> and submit in Cary-Blair</w:t>
            </w:r>
            <w:r>
              <w:rPr>
                <w:sz w:val="18"/>
              </w:rPr>
              <w:t>)</w:t>
            </w:r>
          </w:p>
        </w:tc>
        <w:tc>
          <w:tcPr>
            <w:tcW w:w="3060" w:type="dxa"/>
            <w:tcBorders>
              <w:left w:val="single" w:sz="4" w:space="0" w:color="auto"/>
              <w:bottom w:val="single" w:sz="4" w:space="0" w:color="auto"/>
              <w:right w:val="single" w:sz="4" w:space="0" w:color="auto"/>
            </w:tcBorders>
          </w:tcPr>
          <w:p w:rsidR="00056A9C" w:rsidRPr="00BB418D" w:rsidRDefault="00056A9C" w:rsidP="00973DD1">
            <w:pPr>
              <w:rPr>
                <w:sz w:val="18"/>
              </w:rPr>
            </w:pPr>
            <w:r w:rsidRPr="00BB418D">
              <w:rPr>
                <w:sz w:val="18"/>
              </w:rPr>
              <w:t>Enterovirus Culture</w:t>
            </w:r>
          </w:p>
        </w:tc>
      </w:tr>
    </w:tbl>
    <w:p w:rsidR="00056A9C" w:rsidRDefault="00056A9C" w:rsidP="002D57DD">
      <w:pPr>
        <w:spacing w:after="0" w:line="240" w:lineRule="auto"/>
      </w:pPr>
    </w:p>
    <w:p w:rsidR="002D57DD" w:rsidRPr="00AD6F1D" w:rsidRDefault="002D57DD" w:rsidP="002D57DD">
      <w:pPr>
        <w:spacing w:after="0" w:line="240" w:lineRule="auto"/>
        <w:rPr>
          <w:sz w:val="8"/>
          <w:szCs w:val="8"/>
        </w:rPr>
      </w:pPr>
    </w:p>
    <w:p w:rsidR="002D57DD" w:rsidRPr="006A40A5" w:rsidRDefault="002D57DD" w:rsidP="002D57DD">
      <w:pPr>
        <w:spacing w:after="0" w:line="240" w:lineRule="auto"/>
        <w:rPr>
          <w:sz w:val="14"/>
          <w:szCs w:val="8"/>
        </w:rPr>
      </w:pPr>
    </w:p>
    <w:p w:rsidR="002D57DD" w:rsidRPr="00806148" w:rsidRDefault="002D57DD" w:rsidP="002D57DD">
      <w:pPr>
        <w:spacing w:after="0" w:line="240" w:lineRule="auto"/>
        <w:jc w:val="center"/>
        <w:rPr>
          <w:b/>
          <w:sz w:val="24"/>
          <w:szCs w:val="26"/>
        </w:rPr>
      </w:pPr>
      <w:r w:rsidRPr="00806148">
        <w:rPr>
          <w:b/>
          <w:sz w:val="24"/>
          <w:szCs w:val="26"/>
        </w:rPr>
        <w:t>NEW:  Community-Acquired Gastrointestinal Pathogens PCR Panel Available</w:t>
      </w:r>
    </w:p>
    <w:p w:rsidR="002D57DD" w:rsidRDefault="002D57DD" w:rsidP="002D57DD">
      <w:pPr>
        <w:spacing w:after="0" w:line="240" w:lineRule="auto"/>
      </w:pPr>
    </w:p>
    <w:p w:rsidR="002D57DD" w:rsidRDefault="002D57DD" w:rsidP="002D57DD">
      <w:pPr>
        <w:spacing w:after="0" w:line="240" w:lineRule="auto"/>
      </w:pPr>
      <w:r>
        <w:t>Effective March 23, 2015, stool testing in the UVA Clinical Microbiology Laboratory will transition to a comprehensive multiplex molecular panel for the most common community-acquired gastrointestinal pathogens.</w:t>
      </w:r>
      <w:r w:rsidRPr="00DF0E3E">
        <w:rPr>
          <w:b/>
        </w:rPr>
        <w:t xml:space="preserve"> </w:t>
      </w:r>
      <w:r>
        <w:rPr>
          <w:rFonts w:ascii="Calibri" w:eastAsia="Times New Roman" w:hAnsi="Calibri"/>
          <w:color w:val="000000"/>
        </w:rPr>
        <w:t xml:space="preserve">This test focuses on </w:t>
      </w:r>
      <w:r w:rsidR="00247795">
        <w:rPr>
          <w:rFonts w:ascii="Calibri" w:eastAsia="Times New Roman" w:hAnsi="Calibri"/>
          <w:color w:val="000000"/>
        </w:rPr>
        <w:t>community-</w:t>
      </w:r>
      <w:r>
        <w:rPr>
          <w:rFonts w:ascii="Calibri" w:eastAsia="Times New Roman" w:hAnsi="Calibri"/>
          <w:color w:val="000000"/>
        </w:rPr>
        <w:t xml:space="preserve">acquired pathogens and therefore it should be ordered </w:t>
      </w:r>
      <w:r w:rsidR="00247795">
        <w:rPr>
          <w:rFonts w:ascii="Calibri" w:eastAsia="Times New Roman" w:hAnsi="Calibri"/>
          <w:color w:val="000000"/>
        </w:rPr>
        <w:t xml:space="preserve">only </w:t>
      </w:r>
      <w:r>
        <w:rPr>
          <w:rFonts w:ascii="Calibri" w:eastAsia="Times New Roman" w:hAnsi="Calibri"/>
          <w:color w:val="000000"/>
        </w:rPr>
        <w:t xml:space="preserve">on outpatients or </w:t>
      </w:r>
      <w:r w:rsidR="00247795">
        <w:rPr>
          <w:rFonts w:ascii="Calibri" w:eastAsia="Times New Roman" w:hAnsi="Calibri"/>
          <w:color w:val="000000"/>
        </w:rPr>
        <w:t xml:space="preserve">on </w:t>
      </w:r>
      <w:r>
        <w:rPr>
          <w:rFonts w:ascii="Calibri" w:eastAsia="Times New Roman" w:hAnsi="Calibri"/>
          <w:color w:val="000000"/>
        </w:rPr>
        <w:t xml:space="preserve">currently hospitalized patients </w:t>
      </w:r>
      <w:r w:rsidRPr="00337CAC">
        <w:rPr>
          <w:rFonts w:ascii="Calibri" w:eastAsia="Times New Roman" w:hAnsi="Calibri"/>
          <w:i/>
          <w:color w:val="000000"/>
        </w:rPr>
        <w:t>within 48 hours of admission</w:t>
      </w:r>
      <w:r>
        <w:rPr>
          <w:rFonts w:ascii="Calibri" w:eastAsia="Times New Roman" w:hAnsi="Calibri"/>
          <w:color w:val="000000"/>
        </w:rPr>
        <w:t xml:space="preserve">. </w:t>
      </w:r>
      <w:r w:rsidRPr="0081094A">
        <w:rPr>
          <w:b/>
        </w:rPr>
        <w:t xml:space="preserve">This testing will replace </w:t>
      </w:r>
      <w:r>
        <w:rPr>
          <w:b/>
        </w:rPr>
        <w:t xml:space="preserve">Stool Cultures and Antigen Testing for Shiga-Like Toxin, </w:t>
      </w:r>
      <w:r w:rsidRPr="00982910">
        <w:rPr>
          <w:b/>
          <w:i/>
        </w:rPr>
        <w:t>Campylobacter</w:t>
      </w:r>
      <w:r>
        <w:rPr>
          <w:b/>
        </w:rPr>
        <w:t xml:space="preserve">, Rotavirus, </w:t>
      </w:r>
      <w:r w:rsidRPr="00982910">
        <w:rPr>
          <w:b/>
          <w:i/>
        </w:rPr>
        <w:t>Cryptosporidium</w:t>
      </w:r>
      <w:r>
        <w:rPr>
          <w:b/>
        </w:rPr>
        <w:t xml:space="preserve">, and </w:t>
      </w:r>
      <w:r w:rsidRPr="00982910">
        <w:rPr>
          <w:b/>
          <w:i/>
        </w:rPr>
        <w:t>Giardia</w:t>
      </w:r>
      <w:r>
        <w:rPr>
          <w:b/>
        </w:rPr>
        <w:t xml:space="preserve">, as well as </w:t>
      </w:r>
      <w:r w:rsidRPr="00680B3B">
        <w:rPr>
          <w:b/>
        </w:rPr>
        <w:t>Norovirus testing</w:t>
      </w:r>
      <w:r w:rsidRPr="00C77003">
        <w:t xml:space="preserve"> (usually performed at the state lab), </w:t>
      </w:r>
      <w:proofErr w:type="spellStart"/>
      <w:r w:rsidRPr="00680B3B">
        <w:rPr>
          <w:b/>
          <w:i/>
        </w:rPr>
        <w:t>Cyclospora</w:t>
      </w:r>
      <w:proofErr w:type="spellEnd"/>
      <w:r w:rsidRPr="00C77003">
        <w:t xml:space="preserve"> </w:t>
      </w:r>
      <w:r w:rsidRPr="00680B3B">
        <w:rPr>
          <w:b/>
        </w:rPr>
        <w:t xml:space="preserve">and </w:t>
      </w:r>
      <w:proofErr w:type="spellStart"/>
      <w:r w:rsidRPr="00680B3B">
        <w:rPr>
          <w:b/>
          <w:i/>
        </w:rPr>
        <w:t>Entamoeba</w:t>
      </w:r>
      <w:proofErr w:type="spellEnd"/>
      <w:r w:rsidRPr="00680B3B">
        <w:rPr>
          <w:b/>
          <w:i/>
        </w:rPr>
        <w:t xml:space="preserve"> </w:t>
      </w:r>
      <w:proofErr w:type="spellStart"/>
      <w:r w:rsidRPr="00680B3B">
        <w:rPr>
          <w:b/>
          <w:i/>
        </w:rPr>
        <w:t>histolytica</w:t>
      </w:r>
      <w:proofErr w:type="spellEnd"/>
      <w:r w:rsidRPr="00C77003">
        <w:t xml:space="preserve"> (components of Ova and Parasite [O&amp;P])</w:t>
      </w:r>
      <w:r>
        <w:t xml:space="preserve">. </w:t>
      </w:r>
      <w:r w:rsidRPr="00C77003">
        <w:t xml:space="preserve"> </w:t>
      </w:r>
    </w:p>
    <w:p w:rsidR="002D57DD" w:rsidRDefault="002D57DD" w:rsidP="002D57DD">
      <w:pPr>
        <w:spacing w:after="0" w:line="240" w:lineRule="auto"/>
      </w:pPr>
    </w:p>
    <w:p w:rsidR="002D57DD" w:rsidRDefault="002D57DD" w:rsidP="002D57DD">
      <w:pPr>
        <w:spacing w:after="60" w:line="240" w:lineRule="auto"/>
      </w:pPr>
      <w:r w:rsidRPr="00C77003">
        <w:rPr>
          <w:b/>
        </w:rPr>
        <w:t xml:space="preserve">Targets detected by the </w:t>
      </w:r>
      <w:r>
        <w:rPr>
          <w:b/>
        </w:rPr>
        <w:t xml:space="preserve">Community </w:t>
      </w:r>
      <w:r w:rsidRPr="00C77003">
        <w:rPr>
          <w:b/>
        </w:rPr>
        <w:t>GI Pathogens</w:t>
      </w:r>
      <w:r>
        <w:rPr>
          <w:b/>
        </w:rPr>
        <w:t xml:space="preserve"> PCR Panel</w:t>
      </w:r>
      <w:r w:rsidRPr="00C77003">
        <w:rPr>
          <w:b/>
        </w:rPr>
        <w:t xml:space="preserve"> include:</w:t>
      </w:r>
    </w:p>
    <w:p w:rsidR="002D57DD" w:rsidRPr="00056C5D" w:rsidRDefault="002D57DD" w:rsidP="002D57DD">
      <w:pPr>
        <w:spacing w:after="60" w:line="240" w:lineRule="auto"/>
      </w:pPr>
      <w:r w:rsidRPr="00C77AB1">
        <w:rPr>
          <w:u w:val="single"/>
        </w:rPr>
        <w:t>BACTERIAL TARGETS</w:t>
      </w:r>
      <w:r w:rsidRPr="00056C5D">
        <w:t xml:space="preserve">:  </w:t>
      </w:r>
      <w:r w:rsidRPr="00056C5D">
        <w:rPr>
          <w:i/>
        </w:rPr>
        <w:t>Campylobacter</w:t>
      </w:r>
      <w:r w:rsidRPr="00056C5D">
        <w:t xml:space="preserve"> sp (</w:t>
      </w:r>
      <w:r w:rsidRPr="00056C5D">
        <w:rPr>
          <w:i/>
        </w:rPr>
        <w:t xml:space="preserve">C. </w:t>
      </w:r>
      <w:proofErr w:type="spellStart"/>
      <w:r w:rsidRPr="00056C5D">
        <w:rPr>
          <w:i/>
        </w:rPr>
        <w:t>jejuni</w:t>
      </w:r>
      <w:proofErr w:type="spellEnd"/>
      <w:r w:rsidRPr="00056C5D">
        <w:rPr>
          <w:i/>
        </w:rPr>
        <w:t xml:space="preserve">, C. coli, C. </w:t>
      </w:r>
      <w:proofErr w:type="spellStart"/>
      <w:r w:rsidRPr="00056C5D">
        <w:rPr>
          <w:i/>
        </w:rPr>
        <w:t>upsaliensis</w:t>
      </w:r>
      <w:proofErr w:type="spellEnd"/>
      <w:r w:rsidRPr="00056C5D">
        <w:t xml:space="preserve">), </w:t>
      </w:r>
      <w:r w:rsidRPr="00056C5D">
        <w:rPr>
          <w:i/>
        </w:rPr>
        <w:t>Salmonella</w:t>
      </w:r>
      <w:r w:rsidRPr="00056C5D">
        <w:t xml:space="preserve"> sp, Shiga-like toxin</w:t>
      </w:r>
      <w:r w:rsidR="00247795">
        <w:t>-</w:t>
      </w:r>
      <w:r w:rsidRPr="00056C5D">
        <w:t xml:space="preserve">producing organisms, </w:t>
      </w:r>
      <w:proofErr w:type="spellStart"/>
      <w:r w:rsidRPr="00056C5D">
        <w:rPr>
          <w:i/>
        </w:rPr>
        <w:t>E.coli</w:t>
      </w:r>
      <w:proofErr w:type="spellEnd"/>
      <w:r w:rsidRPr="00056C5D">
        <w:t xml:space="preserve"> 0157, </w:t>
      </w:r>
      <w:proofErr w:type="spellStart"/>
      <w:r w:rsidRPr="00056C5D">
        <w:rPr>
          <w:i/>
        </w:rPr>
        <w:t>Shigella</w:t>
      </w:r>
      <w:proofErr w:type="spellEnd"/>
      <w:r w:rsidRPr="00056C5D">
        <w:t>/</w:t>
      </w:r>
      <w:proofErr w:type="spellStart"/>
      <w:r w:rsidRPr="00056C5D">
        <w:t>Enteroinvasive</w:t>
      </w:r>
      <w:proofErr w:type="spellEnd"/>
      <w:r w:rsidRPr="00056C5D">
        <w:t xml:space="preserve"> </w:t>
      </w:r>
      <w:proofErr w:type="spellStart"/>
      <w:r w:rsidRPr="00056C5D">
        <w:rPr>
          <w:i/>
        </w:rPr>
        <w:t>E.coli</w:t>
      </w:r>
      <w:proofErr w:type="spellEnd"/>
      <w:r w:rsidRPr="00056C5D">
        <w:t xml:space="preserve"> (EIEC),  </w:t>
      </w:r>
      <w:proofErr w:type="spellStart"/>
      <w:r w:rsidRPr="00056C5D">
        <w:t>Enteroaggregative</w:t>
      </w:r>
      <w:proofErr w:type="spellEnd"/>
      <w:r w:rsidRPr="00056C5D">
        <w:t xml:space="preserve"> </w:t>
      </w:r>
      <w:proofErr w:type="spellStart"/>
      <w:r w:rsidRPr="00056C5D">
        <w:rPr>
          <w:i/>
        </w:rPr>
        <w:t>E.coli</w:t>
      </w:r>
      <w:proofErr w:type="spellEnd"/>
      <w:r w:rsidRPr="00056C5D">
        <w:t xml:space="preserve"> (EAEC), </w:t>
      </w:r>
      <w:proofErr w:type="spellStart"/>
      <w:r w:rsidRPr="00056C5D">
        <w:t>Enteropathogenic</w:t>
      </w:r>
      <w:proofErr w:type="spellEnd"/>
      <w:r w:rsidRPr="00056C5D">
        <w:t xml:space="preserve"> </w:t>
      </w:r>
      <w:proofErr w:type="spellStart"/>
      <w:r w:rsidRPr="00056C5D">
        <w:rPr>
          <w:i/>
        </w:rPr>
        <w:t>E.coli</w:t>
      </w:r>
      <w:proofErr w:type="spellEnd"/>
      <w:r w:rsidRPr="00056C5D">
        <w:t xml:space="preserve"> (EPEC), </w:t>
      </w:r>
      <w:proofErr w:type="spellStart"/>
      <w:r w:rsidRPr="00056C5D">
        <w:t>Enterotoxigenic</w:t>
      </w:r>
      <w:proofErr w:type="spellEnd"/>
      <w:r w:rsidRPr="00056C5D">
        <w:t xml:space="preserve"> </w:t>
      </w:r>
      <w:proofErr w:type="spellStart"/>
      <w:r w:rsidRPr="00056C5D">
        <w:rPr>
          <w:i/>
        </w:rPr>
        <w:t>E.coli</w:t>
      </w:r>
      <w:proofErr w:type="spellEnd"/>
      <w:r w:rsidRPr="00056C5D">
        <w:t xml:space="preserve"> (ETEC), </w:t>
      </w:r>
      <w:proofErr w:type="spellStart"/>
      <w:r w:rsidRPr="00056C5D">
        <w:rPr>
          <w:i/>
        </w:rPr>
        <w:t>Plesiomonas</w:t>
      </w:r>
      <w:proofErr w:type="spellEnd"/>
      <w:r w:rsidRPr="00056C5D">
        <w:rPr>
          <w:i/>
        </w:rPr>
        <w:t xml:space="preserve"> </w:t>
      </w:r>
      <w:proofErr w:type="spellStart"/>
      <w:r w:rsidRPr="00056C5D">
        <w:rPr>
          <w:i/>
        </w:rPr>
        <w:t>shigelloides</w:t>
      </w:r>
      <w:proofErr w:type="spellEnd"/>
      <w:r w:rsidRPr="00056C5D">
        <w:t xml:space="preserve">, </w:t>
      </w:r>
      <w:proofErr w:type="spellStart"/>
      <w:r w:rsidRPr="00056C5D">
        <w:rPr>
          <w:i/>
        </w:rPr>
        <w:t>Vibrio</w:t>
      </w:r>
      <w:proofErr w:type="spellEnd"/>
      <w:r w:rsidRPr="00056C5D">
        <w:t xml:space="preserve"> </w:t>
      </w:r>
      <w:r>
        <w:t xml:space="preserve">sp. </w:t>
      </w:r>
      <w:r w:rsidRPr="00056C5D">
        <w:t>(</w:t>
      </w:r>
      <w:r w:rsidRPr="00056C5D">
        <w:rPr>
          <w:i/>
        </w:rPr>
        <w:t xml:space="preserve">V. </w:t>
      </w:r>
      <w:proofErr w:type="spellStart"/>
      <w:r w:rsidRPr="00056C5D">
        <w:rPr>
          <w:i/>
        </w:rPr>
        <w:t>parahemolyticus</w:t>
      </w:r>
      <w:proofErr w:type="spellEnd"/>
      <w:r w:rsidRPr="00056C5D">
        <w:rPr>
          <w:i/>
        </w:rPr>
        <w:t xml:space="preserve">, V. </w:t>
      </w:r>
      <w:proofErr w:type="spellStart"/>
      <w:r w:rsidRPr="00056C5D">
        <w:rPr>
          <w:i/>
        </w:rPr>
        <w:t>vulnificus</w:t>
      </w:r>
      <w:proofErr w:type="spellEnd"/>
      <w:r w:rsidRPr="00056C5D">
        <w:t xml:space="preserve">), </w:t>
      </w:r>
      <w:proofErr w:type="spellStart"/>
      <w:r w:rsidRPr="00056C5D">
        <w:rPr>
          <w:i/>
        </w:rPr>
        <w:t>Vibrio</w:t>
      </w:r>
      <w:proofErr w:type="spellEnd"/>
      <w:r w:rsidRPr="00056C5D">
        <w:rPr>
          <w:i/>
        </w:rPr>
        <w:t xml:space="preserve"> cholera</w:t>
      </w:r>
      <w:r w:rsidRPr="00056C5D">
        <w:t xml:space="preserve">, and </w:t>
      </w:r>
      <w:proofErr w:type="spellStart"/>
      <w:r w:rsidRPr="00056C5D">
        <w:rPr>
          <w:i/>
        </w:rPr>
        <w:t>Yersinia</w:t>
      </w:r>
      <w:proofErr w:type="spellEnd"/>
      <w:r w:rsidRPr="00056C5D">
        <w:rPr>
          <w:i/>
        </w:rPr>
        <w:t xml:space="preserve"> </w:t>
      </w:r>
      <w:proofErr w:type="spellStart"/>
      <w:r w:rsidRPr="00056C5D">
        <w:rPr>
          <w:i/>
        </w:rPr>
        <w:t>enterocolitica</w:t>
      </w:r>
      <w:proofErr w:type="spellEnd"/>
      <w:r w:rsidRPr="00056C5D">
        <w:t>.</w:t>
      </w:r>
    </w:p>
    <w:p w:rsidR="002D57DD" w:rsidRPr="00056C5D" w:rsidRDefault="002D57DD" w:rsidP="002D57DD">
      <w:pPr>
        <w:spacing w:after="60" w:line="240" w:lineRule="auto"/>
      </w:pPr>
      <w:r w:rsidRPr="00C77AB1">
        <w:rPr>
          <w:u w:val="single"/>
        </w:rPr>
        <w:t>PARASITIC TARGETS</w:t>
      </w:r>
      <w:r w:rsidRPr="00056C5D">
        <w:t xml:space="preserve">: </w:t>
      </w:r>
      <w:r w:rsidRPr="00056C5D">
        <w:rPr>
          <w:i/>
        </w:rPr>
        <w:t>Cryptosporidium</w:t>
      </w:r>
      <w:r w:rsidRPr="00056C5D">
        <w:t xml:space="preserve"> sp, </w:t>
      </w:r>
      <w:proofErr w:type="spellStart"/>
      <w:r w:rsidRPr="00056C5D">
        <w:rPr>
          <w:i/>
        </w:rPr>
        <w:t>Giardia</w:t>
      </w:r>
      <w:proofErr w:type="spellEnd"/>
      <w:r w:rsidRPr="00056C5D">
        <w:t xml:space="preserve"> sp (G</w:t>
      </w:r>
      <w:r w:rsidRPr="00056C5D">
        <w:rPr>
          <w:i/>
        </w:rPr>
        <w:t xml:space="preserve">. </w:t>
      </w:r>
      <w:proofErr w:type="spellStart"/>
      <w:r w:rsidRPr="00056C5D">
        <w:rPr>
          <w:i/>
        </w:rPr>
        <w:t>intestinalis</w:t>
      </w:r>
      <w:proofErr w:type="spellEnd"/>
      <w:r w:rsidRPr="00056C5D">
        <w:rPr>
          <w:i/>
        </w:rPr>
        <w:t xml:space="preserve">, G. </w:t>
      </w:r>
      <w:proofErr w:type="spellStart"/>
      <w:r w:rsidRPr="00056C5D">
        <w:rPr>
          <w:i/>
        </w:rPr>
        <w:t>lamblia</w:t>
      </w:r>
      <w:proofErr w:type="spellEnd"/>
      <w:r>
        <w:rPr>
          <w:i/>
        </w:rPr>
        <w:t>,</w:t>
      </w:r>
      <w:r w:rsidRPr="00056C5D">
        <w:rPr>
          <w:i/>
        </w:rPr>
        <w:t xml:space="preserve"> G. </w:t>
      </w:r>
      <w:proofErr w:type="spellStart"/>
      <w:r w:rsidRPr="00056C5D">
        <w:rPr>
          <w:i/>
        </w:rPr>
        <w:t>duodenalis</w:t>
      </w:r>
      <w:proofErr w:type="spellEnd"/>
      <w:r w:rsidRPr="00056C5D">
        <w:t xml:space="preserve">), </w:t>
      </w:r>
      <w:proofErr w:type="spellStart"/>
      <w:r w:rsidRPr="00056C5D">
        <w:rPr>
          <w:i/>
        </w:rPr>
        <w:t>Cyclospora</w:t>
      </w:r>
      <w:proofErr w:type="spellEnd"/>
      <w:r w:rsidRPr="00056C5D">
        <w:rPr>
          <w:i/>
        </w:rPr>
        <w:t xml:space="preserve"> </w:t>
      </w:r>
      <w:proofErr w:type="spellStart"/>
      <w:r w:rsidRPr="00056C5D">
        <w:rPr>
          <w:i/>
        </w:rPr>
        <w:t>cayetanensis</w:t>
      </w:r>
      <w:proofErr w:type="spellEnd"/>
      <w:r w:rsidRPr="00056C5D">
        <w:rPr>
          <w:i/>
        </w:rPr>
        <w:t xml:space="preserve">, </w:t>
      </w:r>
      <w:proofErr w:type="spellStart"/>
      <w:r w:rsidRPr="00056C5D">
        <w:rPr>
          <w:i/>
        </w:rPr>
        <w:t>Entamoeba</w:t>
      </w:r>
      <w:proofErr w:type="spellEnd"/>
      <w:r w:rsidRPr="00056C5D">
        <w:rPr>
          <w:i/>
        </w:rPr>
        <w:t xml:space="preserve"> </w:t>
      </w:r>
      <w:proofErr w:type="spellStart"/>
      <w:r w:rsidRPr="00056C5D">
        <w:rPr>
          <w:i/>
        </w:rPr>
        <w:t>histolytica</w:t>
      </w:r>
      <w:proofErr w:type="spellEnd"/>
      <w:r w:rsidRPr="00056C5D">
        <w:t>.</w:t>
      </w:r>
      <w:r w:rsidRPr="000F3DE2">
        <w:rPr>
          <w:rFonts w:ascii="Arial" w:hAnsi="Arial" w:cs="Arial"/>
          <w:noProof/>
          <w:color w:val="464646"/>
          <w:sz w:val="17"/>
          <w:szCs w:val="17"/>
        </w:rPr>
        <w:t xml:space="preserve"> </w:t>
      </w:r>
    </w:p>
    <w:p w:rsidR="002D57DD" w:rsidRPr="00677EFE" w:rsidRDefault="002D57DD" w:rsidP="002D57DD">
      <w:pPr>
        <w:spacing w:after="60" w:line="240" w:lineRule="auto"/>
      </w:pPr>
      <w:r w:rsidRPr="00A960CF">
        <w:rPr>
          <w:rFonts w:cs="Arial"/>
          <w:noProof/>
        </w:rPr>
        <w:drawing>
          <wp:anchor distT="0" distB="0" distL="114300" distR="114300" simplePos="0" relativeHeight="251659264" behindDoc="1" locked="0" layoutInCell="1" allowOverlap="1">
            <wp:simplePos x="0" y="0"/>
            <wp:positionH relativeFrom="margin">
              <wp:posOffset>5195570</wp:posOffset>
            </wp:positionH>
            <wp:positionV relativeFrom="margin">
              <wp:posOffset>6597015</wp:posOffset>
            </wp:positionV>
            <wp:extent cx="415925" cy="775970"/>
            <wp:effectExtent l="0" t="0" r="3175" b="5080"/>
            <wp:wrapTight wrapText="bothSides">
              <wp:wrapPolygon edited="0">
                <wp:start x="0" y="0"/>
                <wp:lineTo x="0" y="21211"/>
                <wp:lineTo x="20776" y="21211"/>
                <wp:lineTo x="20776" y="0"/>
                <wp:lineTo x="0" y="0"/>
              </wp:wrapPolygon>
            </wp:wrapTight>
            <wp:docPr id="6" name="Picture 6" descr="Para-Pak&amp;reg; C&am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descr="Para-Pak&amp;reg; C&amp;S"/>
                    <pic:cNvPicPr>
                      <a:picLocks noChangeAspect="1" noChangeArrowheads="1"/>
                    </pic:cNvPicPr>
                  </pic:nvPicPr>
                  <pic:blipFill rotWithShape="1">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22876" t="9865" r="23910" b="6727"/>
                    <a:stretch/>
                  </pic:blipFill>
                  <pic:spPr bwMode="auto">
                    <a:xfrm>
                      <a:off x="0" y="0"/>
                      <a:ext cx="415925" cy="775970"/>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anchor>
        </w:drawing>
      </w:r>
      <w:r w:rsidRPr="00C77AB1">
        <w:rPr>
          <w:u w:val="single"/>
        </w:rPr>
        <w:t>VIRAL TARGETS</w:t>
      </w:r>
      <w:r w:rsidRPr="00677EFE">
        <w:t xml:space="preserve">: Adenovirus F 40/41, </w:t>
      </w:r>
      <w:proofErr w:type="spellStart"/>
      <w:r w:rsidRPr="00677EFE">
        <w:t>Astrovirus</w:t>
      </w:r>
      <w:proofErr w:type="spellEnd"/>
      <w:r w:rsidRPr="00677EFE">
        <w:t xml:space="preserve">, </w:t>
      </w:r>
      <w:proofErr w:type="spellStart"/>
      <w:r w:rsidRPr="00677EFE">
        <w:t>Norovirus</w:t>
      </w:r>
      <w:proofErr w:type="spellEnd"/>
      <w:r w:rsidRPr="00677EFE">
        <w:t xml:space="preserve"> GI/GII, Rotavirus A, </w:t>
      </w:r>
      <w:proofErr w:type="spellStart"/>
      <w:r w:rsidRPr="00677EFE">
        <w:t>Sapovirus</w:t>
      </w:r>
      <w:proofErr w:type="spellEnd"/>
      <w:r w:rsidRPr="00677EFE">
        <w:t xml:space="preserve"> (</w:t>
      </w:r>
      <w:proofErr w:type="spellStart"/>
      <w:r w:rsidRPr="00677EFE">
        <w:t>Genogroups</w:t>
      </w:r>
      <w:proofErr w:type="spellEnd"/>
      <w:r w:rsidRPr="00677EFE">
        <w:t xml:space="preserve"> I, II, IV, and V).</w:t>
      </w:r>
    </w:p>
    <w:p w:rsidR="002D57DD" w:rsidRPr="00677EFE" w:rsidRDefault="002D57DD" w:rsidP="002D57DD">
      <w:pPr>
        <w:spacing w:after="0" w:line="240" w:lineRule="auto"/>
      </w:pPr>
    </w:p>
    <w:p w:rsidR="002D57DD" w:rsidRDefault="002D57DD" w:rsidP="002D57DD">
      <w:pPr>
        <w:spacing w:after="0" w:line="240" w:lineRule="auto"/>
        <w:rPr>
          <w:b/>
        </w:rPr>
      </w:pPr>
      <w:r>
        <w:rPr>
          <w:b/>
        </w:rPr>
        <w:t>Diarrheal s</w:t>
      </w:r>
      <w:r w:rsidRPr="00677EFE">
        <w:rPr>
          <w:b/>
        </w:rPr>
        <w:t xml:space="preserve">tool specimens </w:t>
      </w:r>
      <w:r>
        <w:rPr>
          <w:b/>
        </w:rPr>
        <w:t>for the GI Pathogens panel</w:t>
      </w:r>
      <w:r w:rsidRPr="00677EFE">
        <w:rPr>
          <w:b/>
        </w:rPr>
        <w:t xml:space="preserve"> should be submitted</w:t>
      </w:r>
      <w:r>
        <w:rPr>
          <w:b/>
        </w:rPr>
        <w:t xml:space="preserve"> </w:t>
      </w:r>
      <w:r w:rsidRPr="00677EFE">
        <w:rPr>
          <w:b/>
        </w:rPr>
        <w:t xml:space="preserve">in Para-Pak </w:t>
      </w:r>
    </w:p>
    <w:p w:rsidR="002D57DD" w:rsidRDefault="002D57DD" w:rsidP="002D57DD">
      <w:pPr>
        <w:spacing w:after="0" w:line="240" w:lineRule="auto"/>
      </w:pPr>
      <w:r w:rsidRPr="00677EFE">
        <w:rPr>
          <w:b/>
        </w:rPr>
        <w:t xml:space="preserve">C&amp;S (Orange screw cap </w:t>
      </w:r>
      <w:r>
        <w:rPr>
          <w:b/>
        </w:rPr>
        <w:t>vial</w:t>
      </w:r>
      <w:r w:rsidRPr="00677EFE">
        <w:rPr>
          <w:b/>
        </w:rPr>
        <w:t xml:space="preserve"> pictured)</w:t>
      </w:r>
      <w:r>
        <w:rPr>
          <w:b/>
        </w:rPr>
        <w:t>,</w:t>
      </w:r>
      <w:r w:rsidRPr="00677EFE">
        <w:rPr>
          <w:b/>
        </w:rPr>
        <w:t xml:space="preserve"> </w:t>
      </w:r>
      <w:r w:rsidRPr="000F3DE2">
        <w:t>containing Cary</w:t>
      </w:r>
      <w:r>
        <w:t>-</w:t>
      </w:r>
      <w:r w:rsidRPr="000F3DE2">
        <w:t>Blair transport medium.</w:t>
      </w:r>
      <w:r>
        <w:t xml:space="preserve">  </w:t>
      </w:r>
    </w:p>
    <w:p w:rsidR="002D57DD" w:rsidRDefault="002D57DD" w:rsidP="002D57DD">
      <w:pPr>
        <w:spacing w:after="0" w:line="240" w:lineRule="auto"/>
      </w:pPr>
    </w:p>
    <w:p w:rsidR="002D57DD" w:rsidRPr="00677EFE" w:rsidRDefault="002D57DD" w:rsidP="002D57DD">
      <w:pPr>
        <w:spacing w:after="0" w:line="240" w:lineRule="auto"/>
      </w:pPr>
      <w:r w:rsidRPr="00677EFE">
        <w:t>Clinicians should order “</w:t>
      </w:r>
      <w:r>
        <w:t>Community GI Pathogens PCR</w:t>
      </w:r>
      <w:r w:rsidRPr="00677EFE">
        <w:t>”.  Results will be available within 24 hours of receipt in the laboratory</w:t>
      </w:r>
      <w:r>
        <w:t>.  While this panel is fairly comprehensive, a</w:t>
      </w:r>
      <w:r w:rsidRPr="00677EFE">
        <w:t xml:space="preserve"> negative result in the setting of clinical illness compatible with infectious gastroenteritis may be due to pathogens not detected by this test.</w:t>
      </w:r>
      <w:r>
        <w:t xml:space="preserve">  If pathogens other than those detected by this method are suspected, please contact the Clinical Microbiology Director on call (PIC 1221) to arrange for testing or </w:t>
      </w:r>
      <w:r w:rsidR="00247795">
        <w:t>to ask</w:t>
      </w:r>
      <w:r>
        <w:t xml:space="preserve"> any additional questions. </w:t>
      </w:r>
    </w:p>
    <w:p w:rsidR="000D4F81" w:rsidRDefault="002D57DD" w:rsidP="002D57DD">
      <w:pPr>
        <w:jc w:val="center"/>
      </w:pPr>
      <w:r>
        <w:rPr>
          <w:b/>
        </w:rPr>
        <w:lastRenderedPageBreak/>
        <w:t>HIV Genotyping Assay</w:t>
      </w:r>
    </w:p>
    <w:p w:rsidR="002D57DD" w:rsidRDefault="002D57DD" w:rsidP="002D57DD">
      <w:r>
        <w:t xml:space="preserve">Due to lack of reagent availability (assay discontinued by vendor), </w:t>
      </w:r>
      <w:r w:rsidR="00247795">
        <w:t xml:space="preserve">samples with </w:t>
      </w:r>
      <w:r>
        <w:t>requests for HIV genotyping will now be sent to Quest Diagnostics.  No changes have been made in Epic at this time and results will post under Microbiology/Miscellaneous Microbiology until all computing changes have been completed.  Please contact the Microbiology Director on call (PIC 1221) with questions.</w:t>
      </w:r>
    </w:p>
    <w:p w:rsidR="00056A9C" w:rsidRDefault="00056A9C" w:rsidP="002D57DD"/>
    <w:p w:rsidR="00F854FD" w:rsidRPr="00D6734E" w:rsidRDefault="00F854FD" w:rsidP="00F854FD">
      <w:pPr>
        <w:jc w:val="center"/>
        <w:rPr>
          <w:b/>
        </w:rPr>
      </w:pPr>
      <w:r>
        <w:rPr>
          <w:b/>
        </w:rPr>
        <w:t xml:space="preserve">Hemoglobin </w:t>
      </w:r>
      <w:proofErr w:type="gramStart"/>
      <w:r>
        <w:rPr>
          <w:b/>
        </w:rPr>
        <w:t>A1c</w:t>
      </w:r>
      <w:proofErr w:type="gramEnd"/>
      <w:r>
        <w:rPr>
          <w:b/>
        </w:rPr>
        <w:t xml:space="preserve"> (</w:t>
      </w:r>
      <w:r w:rsidRPr="00D6734E">
        <w:rPr>
          <w:b/>
        </w:rPr>
        <w:t>Glycated Hemoglobin</w:t>
      </w:r>
      <w:r>
        <w:rPr>
          <w:b/>
        </w:rPr>
        <w:t>) Testing Frequency (Medicare)</w:t>
      </w:r>
    </w:p>
    <w:p w:rsidR="00F854FD" w:rsidRPr="00D6734E" w:rsidRDefault="00F854FD" w:rsidP="00F854FD">
      <w:r>
        <w:t xml:space="preserve">Hemoglobin </w:t>
      </w:r>
      <w:proofErr w:type="gramStart"/>
      <w:r>
        <w:t>A1c</w:t>
      </w:r>
      <w:proofErr w:type="gramEnd"/>
      <w:r>
        <w:t xml:space="preserve"> (g</w:t>
      </w:r>
      <w:r w:rsidRPr="00D6734E">
        <w:t>lycated hemoglobin</w:t>
      </w:r>
      <w:r>
        <w:t>)</w:t>
      </w:r>
      <w:r w:rsidRPr="00D6734E">
        <w:t xml:space="preserve"> levels are used to assess long-term glucose control in diabetes. It is widely accepted as medically necessary in the management and control of diabetes. It is also used to assess hyperglycemia, a history or hyperglycemia or dangerous hypoglycemia.</w:t>
      </w:r>
    </w:p>
    <w:p w:rsidR="00F854FD" w:rsidRPr="00D6734E" w:rsidRDefault="00F854FD" w:rsidP="00F854FD">
      <w:r w:rsidRPr="00D6734E">
        <w:t>Medicare does not consider it reasonable or necessary to perform this testing more often than every 3 months on a controlled diabetic patient. It is also not reasonable or necessary to perform this testing more than once per month on a pregnant diabetic patient. Testing for uncontrolled type one or two diabetes may require testing more than four times per year.</w:t>
      </w:r>
    </w:p>
    <w:p w:rsidR="00F854FD" w:rsidRPr="00D6734E" w:rsidRDefault="00F854FD" w:rsidP="00F854FD">
      <w:r w:rsidRPr="00D6734E">
        <w:t xml:space="preserve">Medicare does not recognize routine screening so when ordering the hemoglobin </w:t>
      </w:r>
      <w:proofErr w:type="gramStart"/>
      <w:r w:rsidRPr="00D6734E">
        <w:t>A1c</w:t>
      </w:r>
      <w:proofErr w:type="gramEnd"/>
      <w:r w:rsidRPr="00D6734E">
        <w:t xml:space="preserve"> test please be sure to submit the appropriate diabetic diagnosis code or symptom code (i.e. 249.00, 250.00, 250.02, 251.1, 648.00, 790.29, etc).  If these codes are not applicable</w:t>
      </w:r>
      <w:r>
        <w:t>,</w:t>
      </w:r>
      <w:r w:rsidRPr="00D6734E">
        <w:t xml:space="preserve"> please discuss with your patient and have them sign the Advanced Beneficiary Notice (ABN) for billing purposes.</w:t>
      </w:r>
    </w:p>
    <w:p w:rsidR="00056A9C" w:rsidRPr="002D57DD" w:rsidRDefault="00056A9C" w:rsidP="002D57DD"/>
    <w:sectPr w:rsidR="00056A9C" w:rsidRPr="002D57DD" w:rsidSect="005A2B46">
      <w:footerReference w:type="default" r:id="rId11"/>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C4298" w:rsidRDefault="002C4298" w:rsidP="002D57DD">
      <w:pPr>
        <w:spacing w:after="0" w:line="240" w:lineRule="auto"/>
      </w:pPr>
      <w:r>
        <w:separator/>
      </w:r>
    </w:p>
  </w:endnote>
  <w:endnote w:type="continuationSeparator" w:id="0">
    <w:p w:rsidR="002C4298" w:rsidRDefault="002C4298" w:rsidP="002D57D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D57DD" w:rsidRPr="002D57DD" w:rsidRDefault="002D57DD" w:rsidP="002D57DD">
    <w:pPr>
      <w:pStyle w:val="Footer"/>
      <w:jc w:val="center"/>
      <w:rPr>
        <w:sz w:val="20"/>
        <w:szCs w:val="20"/>
      </w:rPr>
    </w:pPr>
    <w:r w:rsidRPr="002D57DD">
      <w:rPr>
        <w:sz w:val="20"/>
        <w:szCs w:val="20"/>
      </w:rPr>
      <w:t xml:space="preserve">Page </w:t>
    </w:r>
    <w:r w:rsidR="0002278A" w:rsidRPr="002D57DD">
      <w:rPr>
        <w:b/>
        <w:sz w:val="20"/>
        <w:szCs w:val="20"/>
      </w:rPr>
      <w:fldChar w:fldCharType="begin"/>
    </w:r>
    <w:r w:rsidRPr="002D57DD">
      <w:rPr>
        <w:b/>
        <w:sz w:val="20"/>
        <w:szCs w:val="20"/>
      </w:rPr>
      <w:instrText xml:space="preserve"> PAGE  \* Arabic  \* MERGEFORMAT </w:instrText>
    </w:r>
    <w:r w:rsidR="0002278A" w:rsidRPr="002D57DD">
      <w:rPr>
        <w:b/>
        <w:sz w:val="20"/>
        <w:szCs w:val="20"/>
      </w:rPr>
      <w:fldChar w:fldCharType="separate"/>
    </w:r>
    <w:r w:rsidR="007F35F8">
      <w:rPr>
        <w:b/>
        <w:noProof/>
        <w:sz w:val="20"/>
        <w:szCs w:val="20"/>
      </w:rPr>
      <w:t>3</w:t>
    </w:r>
    <w:r w:rsidR="0002278A" w:rsidRPr="002D57DD">
      <w:rPr>
        <w:b/>
        <w:sz w:val="20"/>
        <w:szCs w:val="20"/>
      </w:rPr>
      <w:fldChar w:fldCharType="end"/>
    </w:r>
    <w:r w:rsidRPr="002D57DD">
      <w:rPr>
        <w:sz w:val="20"/>
        <w:szCs w:val="20"/>
      </w:rPr>
      <w:t xml:space="preserve"> of </w:t>
    </w:r>
    <w:fldSimple w:instr=" NUMPAGES  \* Arabic  \* MERGEFORMAT ">
      <w:r w:rsidR="007F35F8" w:rsidRPr="007F35F8">
        <w:rPr>
          <w:b/>
          <w:noProof/>
          <w:sz w:val="20"/>
          <w:szCs w:val="20"/>
        </w:rPr>
        <w:t>3</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C4298" w:rsidRDefault="002C4298" w:rsidP="002D57DD">
      <w:pPr>
        <w:spacing w:after="0" w:line="240" w:lineRule="auto"/>
      </w:pPr>
      <w:r>
        <w:separator/>
      </w:r>
    </w:p>
  </w:footnote>
  <w:footnote w:type="continuationSeparator" w:id="0">
    <w:p w:rsidR="002C4298" w:rsidRDefault="002C4298" w:rsidP="002D57DD">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62169DE"/>
    <w:multiLevelType w:val="hybridMultilevel"/>
    <w:tmpl w:val="8FA892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76335505"/>
    <w:multiLevelType w:val="hybridMultilevel"/>
    <w:tmpl w:val="C95456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1"/>
    <w:footnote w:id="0"/>
  </w:footnotePr>
  <w:endnotePr>
    <w:endnote w:id="-1"/>
    <w:endnote w:id="0"/>
  </w:endnotePr>
  <w:compat/>
  <w:rsids>
    <w:rsidRoot w:val="00741A8E"/>
    <w:rsid w:val="0002278A"/>
    <w:rsid w:val="00056A9C"/>
    <w:rsid w:val="000D4F81"/>
    <w:rsid w:val="00120FC1"/>
    <w:rsid w:val="001B7889"/>
    <w:rsid w:val="001E1A8D"/>
    <w:rsid w:val="0024492C"/>
    <w:rsid w:val="00247795"/>
    <w:rsid w:val="002C4298"/>
    <w:rsid w:val="002C7BC2"/>
    <w:rsid w:val="002D57DD"/>
    <w:rsid w:val="003A43F0"/>
    <w:rsid w:val="003C4D22"/>
    <w:rsid w:val="003E2FA1"/>
    <w:rsid w:val="00436CF3"/>
    <w:rsid w:val="004526F0"/>
    <w:rsid w:val="00527CEB"/>
    <w:rsid w:val="005A2B46"/>
    <w:rsid w:val="006335A8"/>
    <w:rsid w:val="00650779"/>
    <w:rsid w:val="006D794A"/>
    <w:rsid w:val="00732583"/>
    <w:rsid w:val="00741A8E"/>
    <w:rsid w:val="007F35F8"/>
    <w:rsid w:val="00915278"/>
    <w:rsid w:val="009413C4"/>
    <w:rsid w:val="009A55F3"/>
    <w:rsid w:val="009D6CD4"/>
    <w:rsid w:val="00A51059"/>
    <w:rsid w:val="00AC153E"/>
    <w:rsid w:val="00B80BBD"/>
    <w:rsid w:val="00BF37D2"/>
    <w:rsid w:val="00DC5573"/>
    <w:rsid w:val="00EE401D"/>
    <w:rsid w:val="00F76278"/>
    <w:rsid w:val="00F854FD"/>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2278A"/>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741A8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Spacing">
    <w:name w:val="No Spacing"/>
    <w:uiPriority w:val="99"/>
    <w:qFormat/>
    <w:rsid w:val="001E1A8D"/>
    <w:pPr>
      <w:spacing w:after="0" w:line="240" w:lineRule="auto"/>
    </w:pPr>
    <w:rPr>
      <w:rFonts w:ascii="Times New Roman" w:eastAsia="MS Mincho" w:hAnsi="Times New Roman" w:cs="Times New Roman"/>
      <w:sz w:val="24"/>
      <w:szCs w:val="24"/>
      <w:lang w:eastAsia="ja-JP"/>
    </w:rPr>
  </w:style>
  <w:style w:type="paragraph" w:styleId="ListParagraph">
    <w:name w:val="List Paragraph"/>
    <w:basedOn w:val="Normal"/>
    <w:uiPriority w:val="34"/>
    <w:qFormat/>
    <w:rsid w:val="002D57DD"/>
    <w:pPr>
      <w:ind w:left="720"/>
      <w:contextualSpacing/>
    </w:pPr>
  </w:style>
  <w:style w:type="paragraph" w:styleId="Header">
    <w:name w:val="header"/>
    <w:basedOn w:val="Normal"/>
    <w:link w:val="HeaderChar"/>
    <w:uiPriority w:val="99"/>
    <w:unhideWhenUsed/>
    <w:rsid w:val="002D57DD"/>
    <w:pPr>
      <w:tabs>
        <w:tab w:val="center" w:pos="4680"/>
        <w:tab w:val="right" w:pos="9360"/>
      </w:tabs>
      <w:spacing w:after="0" w:line="240" w:lineRule="auto"/>
    </w:pPr>
  </w:style>
  <w:style w:type="character" w:customStyle="1" w:styleId="HeaderChar">
    <w:name w:val="Header Char"/>
    <w:basedOn w:val="DefaultParagraphFont"/>
    <w:link w:val="Header"/>
    <w:uiPriority w:val="99"/>
    <w:rsid w:val="002D57DD"/>
  </w:style>
  <w:style w:type="paragraph" w:styleId="Footer">
    <w:name w:val="footer"/>
    <w:basedOn w:val="Normal"/>
    <w:link w:val="FooterChar"/>
    <w:uiPriority w:val="99"/>
    <w:unhideWhenUsed/>
    <w:rsid w:val="002D57DD"/>
    <w:pPr>
      <w:tabs>
        <w:tab w:val="center" w:pos="4680"/>
        <w:tab w:val="right" w:pos="9360"/>
      </w:tabs>
      <w:spacing w:after="0" w:line="240" w:lineRule="auto"/>
    </w:pPr>
  </w:style>
  <w:style w:type="character" w:customStyle="1" w:styleId="FooterChar">
    <w:name w:val="Footer Char"/>
    <w:basedOn w:val="DefaultParagraphFont"/>
    <w:link w:val="Footer"/>
    <w:uiPriority w:val="99"/>
    <w:rsid w:val="002D57DD"/>
  </w:style>
  <w:style w:type="paragraph" w:styleId="BalloonText">
    <w:name w:val="Balloon Text"/>
    <w:basedOn w:val="Normal"/>
    <w:link w:val="BalloonTextChar"/>
    <w:uiPriority w:val="99"/>
    <w:semiHidden/>
    <w:unhideWhenUsed/>
    <w:rsid w:val="002D57D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57DD"/>
    <w:rPr>
      <w:rFonts w:ascii="Tahoma" w:hAnsi="Tahoma" w:cs="Tahoma"/>
      <w:sz w:val="16"/>
      <w:szCs w:val="16"/>
    </w:rPr>
  </w:style>
  <w:style w:type="character" w:styleId="CommentReference">
    <w:name w:val="annotation reference"/>
    <w:basedOn w:val="DefaultParagraphFont"/>
    <w:uiPriority w:val="99"/>
    <w:semiHidden/>
    <w:unhideWhenUsed/>
    <w:rsid w:val="00732583"/>
    <w:rPr>
      <w:sz w:val="16"/>
      <w:szCs w:val="16"/>
    </w:rPr>
  </w:style>
  <w:style w:type="paragraph" w:styleId="CommentText">
    <w:name w:val="annotation text"/>
    <w:basedOn w:val="Normal"/>
    <w:link w:val="CommentTextChar"/>
    <w:uiPriority w:val="99"/>
    <w:semiHidden/>
    <w:unhideWhenUsed/>
    <w:rsid w:val="00732583"/>
    <w:pPr>
      <w:spacing w:line="240" w:lineRule="auto"/>
    </w:pPr>
    <w:rPr>
      <w:sz w:val="20"/>
      <w:szCs w:val="20"/>
    </w:rPr>
  </w:style>
  <w:style w:type="character" w:customStyle="1" w:styleId="CommentTextChar">
    <w:name w:val="Comment Text Char"/>
    <w:basedOn w:val="DefaultParagraphFont"/>
    <w:link w:val="CommentText"/>
    <w:uiPriority w:val="99"/>
    <w:semiHidden/>
    <w:rsid w:val="00732583"/>
    <w:rPr>
      <w:sz w:val="20"/>
      <w:szCs w:val="20"/>
    </w:rPr>
  </w:style>
  <w:style w:type="paragraph" w:styleId="CommentSubject">
    <w:name w:val="annotation subject"/>
    <w:basedOn w:val="CommentText"/>
    <w:next w:val="CommentText"/>
    <w:link w:val="CommentSubjectChar"/>
    <w:uiPriority w:val="99"/>
    <w:semiHidden/>
    <w:unhideWhenUsed/>
    <w:rsid w:val="00732583"/>
    <w:rPr>
      <w:b/>
      <w:bCs/>
    </w:rPr>
  </w:style>
  <w:style w:type="character" w:customStyle="1" w:styleId="CommentSubjectChar">
    <w:name w:val="Comment Subject Char"/>
    <w:basedOn w:val="CommentTextChar"/>
    <w:link w:val="CommentSubject"/>
    <w:uiPriority w:val="99"/>
    <w:semiHidden/>
    <w:rsid w:val="00732583"/>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741A8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99"/>
    <w:qFormat/>
    <w:rsid w:val="001E1A8D"/>
    <w:pPr>
      <w:spacing w:after="0" w:line="240" w:lineRule="auto"/>
    </w:pPr>
    <w:rPr>
      <w:rFonts w:ascii="Times New Roman" w:eastAsia="MS Mincho" w:hAnsi="Times New Roman" w:cs="Times New Roman"/>
      <w:sz w:val="24"/>
      <w:szCs w:val="24"/>
      <w:lang w:eastAsia="ja-JP"/>
    </w:rPr>
  </w:style>
  <w:style w:type="paragraph" w:styleId="ListParagraph">
    <w:name w:val="List Paragraph"/>
    <w:basedOn w:val="Normal"/>
    <w:uiPriority w:val="34"/>
    <w:qFormat/>
    <w:rsid w:val="002D57DD"/>
    <w:pPr>
      <w:ind w:left="720"/>
      <w:contextualSpacing/>
    </w:pPr>
  </w:style>
  <w:style w:type="paragraph" w:styleId="Header">
    <w:name w:val="header"/>
    <w:basedOn w:val="Normal"/>
    <w:link w:val="HeaderChar"/>
    <w:uiPriority w:val="99"/>
    <w:unhideWhenUsed/>
    <w:rsid w:val="002D57DD"/>
    <w:pPr>
      <w:tabs>
        <w:tab w:val="center" w:pos="4680"/>
        <w:tab w:val="right" w:pos="9360"/>
      </w:tabs>
      <w:spacing w:after="0" w:line="240" w:lineRule="auto"/>
    </w:pPr>
  </w:style>
  <w:style w:type="character" w:customStyle="1" w:styleId="HeaderChar">
    <w:name w:val="Header Char"/>
    <w:basedOn w:val="DefaultParagraphFont"/>
    <w:link w:val="Header"/>
    <w:uiPriority w:val="99"/>
    <w:rsid w:val="002D57DD"/>
  </w:style>
  <w:style w:type="paragraph" w:styleId="Footer">
    <w:name w:val="footer"/>
    <w:basedOn w:val="Normal"/>
    <w:link w:val="FooterChar"/>
    <w:uiPriority w:val="99"/>
    <w:unhideWhenUsed/>
    <w:rsid w:val="002D57DD"/>
    <w:pPr>
      <w:tabs>
        <w:tab w:val="center" w:pos="4680"/>
        <w:tab w:val="right" w:pos="9360"/>
      </w:tabs>
      <w:spacing w:after="0" w:line="240" w:lineRule="auto"/>
    </w:pPr>
  </w:style>
  <w:style w:type="character" w:customStyle="1" w:styleId="FooterChar">
    <w:name w:val="Footer Char"/>
    <w:basedOn w:val="DefaultParagraphFont"/>
    <w:link w:val="Footer"/>
    <w:uiPriority w:val="99"/>
    <w:rsid w:val="002D57DD"/>
  </w:style>
  <w:style w:type="paragraph" w:styleId="BalloonText">
    <w:name w:val="Balloon Text"/>
    <w:basedOn w:val="Normal"/>
    <w:link w:val="BalloonTextChar"/>
    <w:uiPriority w:val="99"/>
    <w:semiHidden/>
    <w:unhideWhenUsed/>
    <w:rsid w:val="002D57D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57DD"/>
    <w:rPr>
      <w:rFonts w:ascii="Tahoma" w:hAnsi="Tahoma" w:cs="Tahoma"/>
      <w:sz w:val="16"/>
      <w:szCs w:val="16"/>
    </w:rPr>
  </w:style>
  <w:style w:type="character" w:styleId="CommentReference">
    <w:name w:val="annotation reference"/>
    <w:basedOn w:val="DefaultParagraphFont"/>
    <w:uiPriority w:val="99"/>
    <w:semiHidden/>
    <w:unhideWhenUsed/>
    <w:rsid w:val="00732583"/>
    <w:rPr>
      <w:sz w:val="16"/>
      <w:szCs w:val="16"/>
    </w:rPr>
  </w:style>
  <w:style w:type="paragraph" w:styleId="CommentText">
    <w:name w:val="annotation text"/>
    <w:basedOn w:val="Normal"/>
    <w:link w:val="CommentTextChar"/>
    <w:uiPriority w:val="99"/>
    <w:semiHidden/>
    <w:unhideWhenUsed/>
    <w:rsid w:val="00732583"/>
    <w:pPr>
      <w:spacing w:line="240" w:lineRule="auto"/>
    </w:pPr>
    <w:rPr>
      <w:sz w:val="20"/>
      <w:szCs w:val="20"/>
    </w:rPr>
  </w:style>
  <w:style w:type="character" w:customStyle="1" w:styleId="CommentTextChar">
    <w:name w:val="Comment Text Char"/>
    <w:basedOn w:val="DefaultParagraphFont"/>
    <w:link w:val="CommentText"/>
    <w:uiPriority w:val="99"/>
    <w:semiHidden/>
    <w:rsid w:val="00732583"/>
    <w:rPr>
      <w:sz w:val="20"/>
      <w:szCs w:val="20"/>
    </w:rPr>
  </w:style>
  <w:style w:type="paragraph" w:styleId="CommentSubject">
    <w:name w:val="annotation subject"/>
    <w:basedOn w:val="CommentText"/>
    <w:next w:val="CommentText"/>
    <w:link w:val="CommentSubjectChar"/>
    <w:uiPriority w:val="99"/>
    <w:semiHidden/>
    <w:unhideWhenUsed/>
    <w:rsid w:val="00732583"/>
    <w:rPr>
      <w:b/>
      <w:bCs/>
    </w:rPr>
  </w:style>
  <w:style w:type="character" w:customStyle="1" w:styleId="CommentSubjectChar">
    <w:name w:val="Comment Subject Char"/>
    <w:basedOn w:val="CommentTextChar"/>
    <w:link w:val="CommentSubject"/>
    <w:uiPriority w:val="99"/>
    <w:semiHidden/>
    <w:rsid w:val="00732583"/>
    <w:rPr>
      <w:b/>
      <w:bCs/>
      <w:sz w:val="20"/>
      <w:szCs w:val="20"/>
    </w:rPr>
  </w:style>
</w:styles>
</file>

<file path=word/webSettings.xml><?xml version="1.0" encoding="utf-8"?>
<w:webSettings xmlns:r="http://schemas.openxmlformats.org/officeDocument/2006/relationships" xmlns:w="http://schemas.openxmlformats.org/wordprocessingml/2006/main">
  <w:divs>
    <w:div w:id="10419030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jpeg"/><Relationship Id="rId14"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1092</Words>
  <Characters>6229</Characters>
  <Application>Microsoft Office Word</Application>
  <DocSecurity>4</DocSecurity>
  <Lines>51</Lines>
  <Paragraphs>14</Paragraphs>
  <ScaleCrop>false</ScaleCrop>
  <HeadingPairs>
    <vt:vector size="2" baseType="variant">
      <vt:variant>
        <vt:lpstr>Title</vt:lpstr>
      </vt:variant>
      <vt:variant>
        <vt:i4>1</vt:i4>
      </vt:variant>
    </vt:vector>
  </HeadingPairs>
  <TitlesOfParts>
    <vt:vector size="1" baseType="lpstr">
      <vt:lpstr/>
    </vt:vector>
  </TitlesOfParts>
  <Company>UVA Health System</Company>
  <LinksUpToDate>false</LinksUpToDate>
  <CharactersWithSpaces>7307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Oliveira, Walter *HS</dc:creator>
  <cp:lastModifiedBy>Pannell, Christy W *HS</cp:lastModifiedBy>
  <cp:revision>2</cp:revision>
  <cp:lastPrinted>2015-03-25T13:34:00Z</cp:lastPrinted>
  <dcterms:created xsi:type="dcterms:W3CDTF">2015-03-25T13:44:00Z</dcterms:created>
  <dcterms:modified xsi:type="dcterms:W3CDTF">2015-03-25T13:44:00Z</dcterms:modified>
</cp:coreProperties>
</file>