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00009" w:rsidRPr="0043707F" w:rsidRDefault="00200009" w:rsidP="00200009">
      <w:pPr>
        <w:pStyle w:val="NoSpacing"/>
        <w:jc w:val="center"/>
        <w:outlineLvl w:val="0"/>
        <w:rPr>
          <w:rFonts w:ascii="Calibri" w:hAnsi="Calibri"/>
          <w:sz w:val="28"/>
          <w:szCs w:val="28"/>
        </w:rPr>
      </w:pPr>
      <w:r w:rsidRPr="0043707F">
        <w:rPr>
          <w:rFonts w:ascii="Calibri" w:hAnsi="Calibri"/>
          <w:sz w:val="28"/>
          <w:szCs w:val="28"/>
        </w:rPr>
        <w:t>University of Virginia Health System</w:t>
      </w:r>
    </w:p>
    <w:p w:rsidR="00200009" w:rsidRPr="0043707F" w:rsidRDefault="00200009" w:rsidP="00200009">
      <w:pPr>
        <w:pStyle w:val="NoSpacing"/>
        <w:jc w:val="center"/>
        <w:outlineLvl w:val="0"/>
        <w:rPr>
          <w:rFonts w:ascii="Calibri" w:hAnsi="Calibri"/>
          <w:b/>
          <w:snapToGrid w:val="0"/>
          <w:sz w:val="28"/>
          <w:szCs w:val="28"/>
        </w:rPr>
      </w:pPr>
      <w:r w:rsidRPr="0043707F">
        <w:rPr>
          <w:rFonts w:ascii="Calibri" w:hAnsi="Calibri"/>
          <w:b/>
          <w:snapToGrid w:val="0"/>
          <w:sz w:val="28"/>
          <w:szCs w:val="28"/>
        </w:rPr>
        <w:t>Medical Laboratories</w:t>
      </w:r>
    </w:p>
    <w:p w:rsidR="00200009" w:rsidRPr="0043707F" w:rsidRDefault="00200009" w:rsidP="00200009">
      <w:pPr>
        <w:pStyle w:val="NoSpacing"/>
        <w:jc w:val="center"/>
        <w:outlineLvl w:val="0"/>
        <w:rPr>
          <w:rFonts w:ascii="Calibri" w:hAnsi="Calibri"/>
          <w:b/>
          <w:i/>
          <w:snapToGrid w:val="0"/>
          <w:sz w:val="28"/>
          <w:szCs w:val="28"/>
        </w:rPr>
      </w:pPr>
      <w:r w:rsidRPr="0043707F">
        <w:rPr>
          <w:rFonts w:ascii="Calibri" w:hAnsi="Calibri"/>
          <w:b/>
          <w:i/>
          <w:snapToGrid w:val="0"/>
          <w:sz w:val="28"/>
          <w:szCs w:val="28"/>
        </w:rPr>
        <w:t>“Quality You Expect, Service You Deserve”</w:t>
      </w:r>
    </w:p>
    <w:p w:rsidR="00200009" w:rsidRPr="0043707F" w:rsidRDefault="00200009" w:rsidP="00200009">
      <w:pPr>
        <w:pStyle w:val="NoSpacing"/>
        <w:jc w:val="center"/>
        <w:rPr>
          <w:rFonts w:ascii="Calibri" w:hAnsi="Calibri"/>
          <w:b/>
          <w:i/>
          <w:snapToGrid w:val="0"/>
        </w:rPr>
      </w:pPr>
    </w:p>
    <w:p w:rsidR="00200009" w:rsidRPr="0043707F" w:rsidRDefault="00200009" w:rsidP="00200009">
      <w:pPr>
        <w:keepNext/>
        <w:widowControl w:val="0"/>
        <w:jc w:val="center"/>
        <w:outlineLvl w:val="0"/>
        <w:rPr>
          <w:rFonts w:ascii="Calibri" w:hAnsi="Calibri"/>
          <w:b/>
          <w:i/>
          <w:snapToGrid w:val="0"/>
          <w:sz w:val="28"/>
          <w:szCs w:val="28"/>
          <w:u w:val="single"/>
        </w:rPr>
      </w:pPr>
      <w:r w:rsidRPr="0043707F">
        <w:rPr>
          <w:rFonts w:ascii="Calibri" w:hAnsi="Calibri"/>
          <w:b/>
          <w:i/>
          <w:snapToGrid w:val="0"/>
          <w:sz w:val="28"/>
          <w:szCs w:val="28"/>
          <w:u w:val="single"/>
        </w:rPr>
        <w:t>LABORATORY MEDICINE UPDATE</w:t>
      </w:r>
    </w:p>
    <w:p w:rsidR="00200009" w:rsidRDefault="00200009" w:rsidP="00200009">
      <w:pPr>
        <w:spacing w:line="240" w:lineRule="auto"/>
        <w:jc w:val="center"/>
        <w:rPr>
          <w:rFonts w:ascii="Calibri" w:hAnsi="Calibri"/>
          <w:snapToGrid w:val="0"/>
          <w:sz w:val="28"/>
          <w:szCs w:val="28"/>
          <w:u w:val="single"/>
        </w:rPr>
      </w:pPr>
      <w:r>
        <w:rPr>
          <w:rFonts w:ascii="Calibri" w:hAnsi="Calibri"/>
          <w:snapToGrid w:val="0"/>
          <w:sz w:val="28"/>
          <w:szCs w:val="28"/>
          <w:u w:val="single"/>
        </w:rPr>
        <w:t>April 27, 2015</w:t>
      </w:r>
    </w:p>
    <w:p w:rsidR="00442620" w:rsidRDefault="00442620" w:rsidP="00442620">
      <w:pPr>
        <w:tabs>
          <w:tab w:val="left" w:pos="720"/>
          <w:tab w:val="left" w:pos="810"/>
        </w:tabs>
        <w:spacing w:line="240" w:lineRule="auto"/>
        <w:jc w:val="center"/>
        <w:rPr>
          <w:b/>
          <w:sz w:val="24"/>
          <w:szCs w:val="24"/>
        </w:rPr>
      </w:pPr>
    </w:p>
    <w:p w:rsidR="00442620" w:rsidRPr="00092D6D" w:rsidRDefault="00442620" w:rsidP="00442620">
      <w:pPr>
        <w:tabs>
          <w:tab w:val="left" w:pos="720"/>
          <w:tab w:val="left" w:pos="810"/>
        </w:tabs>
        <w:spacing w:line="240" w:lineRule="auto"/>
        <w:jc w:val="center"/>
        <w:rPr>
          <w:b/>
          <w:sz w:val="24"/>
          <w:szCs w:val="24"/>
        </w:rPr>
      </w:pPr>
      <w:r w:rsidRPr="00092D6D">
        <w:rPr>
          <w:b/>
          <w:sz w:val="24"/>
          <w:szCs w:val="24"/>
        </w:rPr>
        <w:t>Discontinuation of In-House Platelet Factor 4 Antibody Test</w:t>
      </w:r>
    </w:p>
    <w:p w:rsidR="00442620" w:rsidRPr="00092D6D" w:rsidRDefault="00442620" w:rsidP="00442620">
      <w:pPr>
        <w:spacing w:line="240" w:lineRule="auto"/>
        <w:rPr>
          <w:sz w:val="24"/>
          <w:szCs w:val="24"/>
        </w:rPr>
      </w:pPr>
      <w:r w:rsidRPr="00092D6D">
        <w:rPr>
          <w:sz w:val="24"/>
          <w:szCs w:val="24"/>
        </w:rPr>
        <w:t xml:space="preserve">This past summer, a platelet factor 4 antibody </w:t>
      </w:r>
      <w:proofErr w:type="gramStart"/>
      <w:r w:rsidRPr="00092D6D">
        <w:rPr>
          <w:sz w:val="24"/>
          <w:szCs w:val="24"/>
        </w:rPr>
        <w:t>test</w:t>
      </w:r>
      <w:proofErr w:type="gramEnd"/>
      <w:r w:rsidRPr="00092D6D">
        <w:rPr>
          <w:sz w:val="24"/>
          <w:szCs w:val="24"/>
        </w:rPr>
        <w:t xml:space="preserve"> was implemented for use in the evaluation of patients with suspected heparin-induced thrombocytopenia (HIT).  The test’s performance has proven to be unacceptable. When all 151 results of the test were compared with the results of the reference standard serotonin release activity (SRA) test, 57 were false positives and 6 of the 7 samples that were SRA-positive were negative.  As a result, the test will be discontinued, effective April 29, 2015.</w:t>
      </w:r>
    </w:p>
    <w:p w:rsidR="00442620" w:rsidRPr="00092D6D" w:rsidRDefault="00442620" w:rsidP="00442620">
      <w:pPr>
        <w:spacing w:line="240" w:lineRule="auto"/>
        <w:rPr>
          <w:sz w:val="24"/>
          <w:szCs w:val="24"/>
        </w:rPr>
      </w:pPr>
      <w:r w:rsidRPr="00092D6D">
        <w:rPr>
          <w:sz w:val="24"/>
          <w:szCs w:val="24"/>
        </w:rPr>
        <w:t>The Anticoagulation Committee is updating the guidelines for HIT, which will include additions to the in-house testing menu.  In the meantime, the following is advised for patients in whom HIT is suspected:</w:t>
      </w:r>
    </w:p>
    <w:p w:rsidR="00442620" w:rsidRPr="00092D6D" w:rsidRDefault="00442620" w:rsidP="00442620">
      <w:pPr>
        <w:pStyle w:val="ListParagraph"/>
        <w:numPr>
          <w:ilvl w:val="0"/>
          <w:numId w:val="2"/>
        </w:numPr>
        <w:spacing w:after="0" w:line="240" w:lineRule="auto"/>
        <w:rPr>
          <w:sz w:val="24"/>
          <w:szCs w:val="24"/>
        </w:rPr>
      </w:pPr>
      <w:r w:rsidRPr="00092D6D">
        <w:rPr>
          <w:sz w:val="24"/>
          <w:szCs w:val="24"/>
        </w:rPr>
        <w:t>Calculate a 4T score http://www.healthsystem.virginia.edu/docs/manuals/guidelines/cpgguidelines/02-clinical-practice-guidelines/hit-hitts-adult/?searchterm=HIT</w:t>
      </w:r>
    </w:p>
    <w:p w:rsidR="00442620" w:rsidRPr="00092D6D" w:rsidRDefault="00442620" w:rsidP="00442620">
      <w:pPr>
        <w:pStyle w:val="ListParagraph"/>
        <w:numPr>
          <w:ilvl w:val="0"/>
          <w:numId w:val="2"/>
        </w:numPr>
        <w:spacing w:after="0" w:line="240" w:lineRule="auto"/>
        <w:rPr>
          <w:sz w:val="24"/>
          <w:szCs w:val="24"/>
        </w:rPr>
      </w:pPr>
      <w:r w:rsidRPr="00092D6D">
        <w:rPr>
          <w:sz w:val="24"/>
          <w:szCs w:val="24"/>
        </w:rPr>
        <w:t xml:space="preserve">If 4T score </w:t>
      </w:r>
      <w:r w:rsidRPr="00092D6D">
        <w:rPr>
          <w:sz w:val="24"/>
          <w:szCs w:val="24"/>
          <w:u w:val="single"/>
        </w:rPr>
        <w:t>&gt;</w:t>
      </w:r>
      <w:r w:rsidRPr="00092D6D">
        <w:rPr>
          <w:sz w:val="24"/>
          <w:szCs w:val="24"/>
        </w:rPr>
        <w:t xml:space="preserve"> 4 , send-out SRA</w:t>
      </w:r>
    </w:p>
    <w:p w:rsidR="00442620" w:rsidRPr="00092D6D" w:rsidRDefault="00442620" w:rsidP="00442620">
      <w:pPr>
        <w:pStyle w:val="ListParagraph"/>
        <w:numPr>
          <w:ilvl w:val="0"/>
          <w:numId w:val="2"/>
        </w:numPr>
        <w:spacing w:after="0" w:line="240" w:lineRule="auto"/>
        <w:rPr>
          <w:sz w:val="24"/>
          <w:szCs w:val="24"/>
        </w:rPr>
      </w:pPr>
      <w:r w:rsidRPr="00092D6D">
        <w:rPr>
          <w:sz w:val="24"/>
          <w:szCs w:val="24"/>
        </w:rPr>
        <w:t>Consider Hematology consult, if needed</w:t>
      </w:r>
    </w:p>
    <w:p w:rsidR="00442620" w:rsidRDefault="00442620" w:rsidP="00442620">
      <w:pPr>
        <w:spacing w:line="240" w:lineRule="auto"/>
        <w:jc w:val="center"/>
        <w:rPr>
          <w:b/>
          <w:sz w:val="24"/>
          <w:szCs w:val="24"/>
        </w:rPr>
      </w:pPr>
    </w:p>
    <w:p w:rsidR="00442620" w:rsidRPr="00B04AA6" w:rsidRDefault="00442620" w:rsidP="00442620">
      <w:pPr>
        <w:spacing w:line="240" w:lineRule="auto"/>
        <w:jc w:val="center"/>
        <w:rPr>
          <w:b/>
          <w:sz w:val="24"/>
          <w:szCs w:val="24"/>
        </w:rPr>
      </w:pPr>
      <w:r w:rsidRPr="00B04AA6">
        <w:rPr>
          <w:b/>
          <w:sz w:val="24"/>
          <w:szCs w:val="24"/>
        </w:rPr>
        <w:t xml:space="preserve">NP Swab Samples Accepted for </w:t>
      </w:r>
      <w:r w:rsidRPr="00B04AA6">
        <w:rPr>
          <w:b/>
          <w:i/>
          <w:sz w:val="24"/>
          <w:szCs w:val="24"/>
        </w:rPr>
        <w:t>B</w:t>
      </w:r>
      <w:r>
        <w:rPr>
          <w:b/>
          <w:i/>
          <w:sz w:val="24"/>
          <w:szCs w:val="24"/>
        </w:rPr>
        <w:t>.</w:t>
      </w:r>
      <w:r w:rsidRPr="00B04AA6">
        <w:rPr>
          <w:b/>
          <w:i/>
          <w:sz w:val="24"/>
          <w:szCs w:val="24"/>
        </w:rPr>
        <w:t xml:space="preserve"> pertussis </w:t>
      </w:r>
      <w:r w:rsidRPr="00B04AA6">
        <w:rPr>
          <w:b/>
          <w:sz w:val="24"/>
          <w:szCs w:val="24"/>
        </w:rPr>
        <w:t>PCR Testing</w:t>
      </w:r>
    </w:p>
    <w:p w:rsidR="00442620" w:rsidRPr="00B04AA6" w:rsidRDefault="00442620" w:rsidP="00442620">
      <w:pPr>
        <w:spacing w:line="240" w:lineRule="auto"/>
        <w:rPr>
          <w:sz w:val="24"/>
          <w:szCs w:val="24"/>
        </w:rPr>
      </w:pPr>
      <w:r w:rsidRPr="00B04AA6">
        <w:rPr>
          <w:sz w:val="24"/>
          <w:szCs w:val="24"/>
        </w:rPr>
        <w:t xml:space="preserve"> As of April 23, 2015, the Clinical Microbiology and Molecular Diagnostics Laboratory will now accept nasopharyngeal (NP) swabs for </w:t>
      </w:r>
      <w:r w:rsidRPr="00B04AA6">
        <w:rPr>
          <w:i/>
          <w:sz w:val="24"/>
          <w:szCs w:val="24"/>
        </w:rPr>
        <w:t>B. pertussis</w:t>
      </w:r>
      <w:r w:rsidRPr="00B04AA6">
        <w:rPr>
          <w:sz w:val="24"/>
          <w:szCs w:val="24"/>
        </w:rPr>
        <w:t xml:space="preserve"> testing. Acceptable swab types are as follows: </w:t>
      </w:r>
    </w:p>
    <w:p w:rsidR="00442620" w:rsidRPr="00B04AA6" w:rsidRDefault="00442620" w:rsidP="00442620">
      <w:pPr>
        <w:numPr>
          <w:ilvl w:val="0"/>
          <w:numId w:val="3"/>
        </w:numPr>
        <w:spacing w:after="0" w:line="240" w:lineRule="auto"/>
        <w:jc w:val="both"/>
        <w:rPr>
          <w:color w:val="000000"/>
          <w:sz w:val="24"/>
          <w:szCs w:val="24"/>
        </w:rPr>
      </w:pPr>
      <w:r w:rsidRPr="00B04AA6">
        <w:rPr>
          <w:sz w:val="24"/>
          <w:szCs w:val="24"/>
        </w:rPr>
        <w:t>mini-tip polyester or rayon aluminum swabs</w:t>
      </w:r>
    </w:p>
    <w:p w:rsidR="00442620" w:rsidRPr="00B04AA6" w:rsidRDefault="00442620" w:rsidP="00442620">
      <w:pPr>
        <w:numPr>
          <w:ilvl w:val="0"/>
          <w:numId w:val="3"/>
        </w:numPr>
        <w:spacing w:after="0" w:line="240" w:lineRule="auto"/>
        <w:jc w:val="both"/>
        <w:rPr>
          <w:color w:val="000000"/>
          <w:sz w:val="24"/>
          <w:szCs w:val="24"/>
        </w:rPr>
      </w:pPr>
      <w:r w:rsidRPr="00B04AA6">
        <w:rPr>
          <w:sz w:val="24"/>
          <w:szCs w:val="24"/>
        </w:rPr>
        <w:t>flocked mini-tip swabs</w:t>
      </w:r>
    </w:p>
    <w:p w:rsidR="00442620" w:rsidRPr="00B04AA6" w:rsidRDefault="00442620" w:rsidP="00442620">
      <w:pPr>
        <w:spacing w:line="240" w:lineRule="auto"/>
        <w:jc w:val="both"/>
        <w:rPr>
          <w:sz w:val="24"/>
          <w:szCs w:val="24"/>
        </w:rPr>
      </w:pPr>
      <w:r w:rsidRPr="00B04AA6">
        <w:rPr>
          <w:b/>
          <w:sz w:val="24"/>
          <w:szCs w:val="24"/>
        </w:rPr>
        <w:t>Required specimen</w:t>
      </w:r>
      <w:r w:rsidRPr="00B04AA6">
        <w:rPr>
          <w:sz w:val="24"/>
          <w:szCs w:val="24"/>
        </w:rPr>
        <w:t xml:space="preserve">: NP swab must be placed into a sterile tube containing 3.0 mL M4RT or UTM-RT at the time of collection. A single sample submitted will usually be sufficient for </w:t>
      </w:r>
      <w:r w:rsidRPr="00B04AA6">
        <w:rPr>
          <w:i/>
          <w:sz w:val="24"/>
          <w:szCs w:val="24"/>
        </w:rPr>
        <w:t>B</w:t>
      </w:r>
      <w:r>
        <w:rPr>
          <w:i/>
          <w:sz w:val="24"/>
          <w:szCs w:val="24"/>
        </w:rPr>
        <w:t>.</w:t>
      </w:r>
      <w:r w:rsidRPr="00B04AA6">
        <w:rPr>
          <w:i/>
          <w:sz w:val="24"/>
          <w:szCs w:val="24"/>
        </w:rPr>
        <w:t xml:space="preserve"> pertussis </w:t>
      </w:r>
      <w:r w:rsidRPr="00B04AA6">
        <w:rPr>
          <w:sz w:val="24"/>
          <w:szCs w:val="24"/>
        </w:rPr>
        <w:t xml:space="preserve">PCR and Viral Respiratory testing.  </w:t>
      </w:r>
    </w:p>
    <w:p w:rsidR="00442620" w:rsidRPr="00B04AA6" w:rsidRDefault="00442620" w:rsidP="00442620">
      <w:pPr>
        <w:spacing w:line="240" w:lineRule="auto"/>
        <w:jc w:val="both"/>
        <w:rPr>
          <w:sz w:val="24"/>
          <w:szCs w:val="24"/>
        </w:rPr>
      </w:pPr>
      <w:r w:rsidRPr="00B04AA6">
        <w:rPr>
          <w:b/>
          <w:sz w:val="24"/>
          <w:szCs w:val="24"/>
        </w:rPr>
        <w:t xml:space="preserve">Testing Schedule:  </w:t>
      </w:r>
      <w:r w:rsidRPr="00B04AA6">
        <w:rPr>
          <w:i/>
          <w:sz w:val="24"/>
          <w:szCs w:val="24"/>
        </w:rPr>
        <w:t>B. pertussis</w:t>
      </w:r>
      <w:r w:rsidRPr="00B04AA6">
        <w:rPr>
          <w:sz w:val="24"/>
          <w:szCs w:val="24"/>
        </w:rPr>
        <w:t xml:space="preserve"> testing will continue to be performed once daily.  </w:t>
      </w:r>
    </w:p>
    <w:p w:rsidR="00442620" w:rsidRPr="00B04AA6" w:rsidRDefault="00442620" w:rsidP="00442620">
      <w:pPr>
        <w:spacing w:line="240" w:lineRule="auto"/>
        <w:jc w:val="both"/>
        <w:rPr>
          <w:sz w:val="24"/>
          <w:szCs w:val="24"/>
        </w:rPr>
      </w:pPr>
      <w:r w:rsidRPr="00B04AA6">
        <w:rPr>
          <w:sz w:val="24"/>
          <w:szCs w:val="24"/>
        </w:rPr>
        <w:t>Please contact the Clinical Microbiology Director on call at PIC 1221 with questions.</w:t>
      </w:r>
    </w:p>
    <w:p w:rsidR="00442620" w:rsidRPr="00092D6D" w:rsidRDefault="00442620" w:rsidP="00442620">
      <w:pPr>
        <w:spacing w:line="240" w:lineRule="auto"/>
        <w:jc w:val="center"/>
        <w:rPr>
          <w:b/>
          <w:sz w:val="24"/>
          <w:szCs w:val="24"/>
        </w:rPr>
      </w:pPr>
      <w:r w:rsidRPr="00092D6D">
        <w:rPr>
          <w:b/>
          <w:sz w:val="24"/>
          <w:szCs w:val="24"/>
        </w:rPr>
        <w:lastRenderedPageBreak/>
        <w:t xml:space="preserve">Discontinuation of In-House </w:t>
      </w:r>
      <w:proofErr w:type="spellStart"/>
      <w:r w:rsidRPr="00092D6D">
        <w:rPr>
          <w:b/>
          <w:sz w:val="24"/>
          <w:szCs w:val="24"/>
        </w:rPr>
        <w:t>Phosphatidyl</w:t>
      </w:r>
      <w:proofErr w:type="spellEnd"/>
      <w:r w:rsidRPr="00092D6D">
        <w:rPr>
          <w:b/>
          <w:sz w:val="24"/>
          <w:szCs w:val="24"/>
        </w:rPr>
        <w:t xml:space="preserve"> Glycerol Testing</w:t>
      </w:r>
    </w:p>
    <w:p w:rsidR="00442620" w:rsidRPr="00092D6D" w:rsidRDefault="00442620" w:rsidP="00442620">
      <w:pPr>
        <w:spacing w:line="240" w:lineRule="auto"/>
        <w:rPr>
          <w:sz w:val="24"/>
          <w:szCs w:val="24"/>
        </w:rPr>
      </w:pPr>
      <w:r w:rsidRPr="00092D6D">
        <w:rPr>
          <w:sz w:val="24"/>
          <w:szCs w:val="24"/>
        </w:rPr>
        <w:t xml:space="preserve">Due to discontinuation by the vendor of reagents for </w:t>
      </w:r>
      <w:proofErr w:type="spellStart"/>
      <w:r w:rsidRPr="00092D6D">
        <w:rPr>
          <w:sz w:val="24"/>
          <w:szCs w:val="24"/>
        </w:rPr>
        <w:t>phosphatidyl</w:t>
      </w:r>
      <w:proofErr w:type="spellEnd"/>
      <w:r w:rsidRPr="00092D6D">
        <w:rPr>
          <w:sz w:val="24"/>
          <w:szCs w:val="24"/>
        </w:rPr>
        <w:t xml:space="preserve"> glycerol testing, Medical Laboratories will cease testing on May 1, 2015.  Testing of amniotic fluid for Lamellar Body Count will remain in place.</w:t>
      </w:r>
    </w:p>
    <w:p w:rsidR="00200009" w:rsidRPr="00092D6D" w:rsidRDefault="00200009" w:rsidP="00092D6D">
      <w:pPr>
        <w:spacing w:line="240" w:lineRule="auto"/>
        <w:jc w:val="center"/>
        <w:rPr>
          <w:b/>
          <w:sz w:val="24"/>
          <w:szCs w:val="24"/>
        </w:rPr>
      </w:pPr>
    </w:p>
    <w:p w:rsidR="00200009" w:rsidRPr="00092D6D" w:rsidRDefault="00200009" w:rsidP="00092D6D">
      <w:pPr>
        <w:spacing w:line="240" w:lineRule="auto"/>
        <w:jc w:val="center"/>
        <w:rPr>
          <w:b/>
          <w:sz w:val="24"/>
          <w:szCs w:val="24"/>
        </w:rPr>
      </w:pPr>
      <w:r w:rsidRPr="00092D6D">
        <w:rPr>
          <w:b/>
          <w:sz w:val="24"/>
          <w:szCs w:val="24"/>
        </w:rPr>
        <w:t>Thyroid Testing and the Medicare Patient</w:t>
      </w:r>
    </w:p>
    <w:p w:rsidR="00200009" w:rsidRPr="00092D6D" w:rsidRDefault="00200009" w:rsidP="00092D6D">
      <w:pPr>
        <w:spacing w:line="240" w:lineRule="auto"/>
        <w:rPr>
          <w:sz w:val="24"/>
          <w:szCs w:val="24"/>
        </w:rPr>
      </w:pPr>
      <w:r w:rsidRPr="00092D6D">
        <w:rPr>
          <w:sz w:val="24"/>
          <w:szCs w:val="24"/>
        </w:rPr>
        <w:t>Thyroid function studies (</w:t>
      </w:r>
      <w:r w:rsidR="00DA5575">
        <w:rPr>
          <w:sz w:val="24"/>
          <w:szCs w:val="24"/>
        </w:rPr>
        <w:t xml:space="preserve">defined by Medicare as: </w:t>
      </w:r>
      <w:r w:rsidRPr="00092D6D">
        <w:rPr>
          <w:sz w:val="24"/>
          <w:szCs w:val="24"/>
        </w:rPr>
        <w:t xml:space="preserve">T4, Free T4, TSH, and T3 Uptake) are used in delineating the presence or absence of hormonal abnormalities in the thyroid and pituitary glands. They are used to define </w:t>
      </w:r>
      <w:proofErr w:type="spellStart"/>
      <w:r w:rsidRPr="00092D6D">
        <w:rPr>
          <w:sz w:val="24"/>
          <w:szCs w:val="24"/>
        </w:rPr>
        <w:t>hyper</w:t>
      </w:r>
      <w:bookmarkStart w:id="0" w:name="_GoBack"/>
      <w:bookmarkEnd w:id="0"/>
      <w:r w:rsidRPr="00092D6D">
        <w:rPr>
          <w:sz w:val="24"/>
          <w:szCs w:val="24"/>
        </w:rPr>
        <w:t>function</w:t>
      </w:r>
      <w:proofErr w:type="spellEnd"/>
      <w:r w:rsidRPr="00092D6D">
        <w:rPr>
          <w:sz w:val="24"/>
          <w:szCs w:val="24"/>
        </w:rPr>
        <w:t xml:space="preserve">, </w:t>
      </w:r>
      <w:proofErr w:type="spellStart"/>
      <w:r w:rsidRPr="00092D6D">
        <w:rPr>
          <w:sz w:val="24"/>
          <w:szCs w:val="24"/>
        </w:rPr>
        <w:t>euthyroidism</w:t>
      </w:r>
      <w:proofErr w:type="spellEnd"/>
      <w:r w:rsidRPr="00092D6D">
        <w:rPr>
          <w:sz w:val="24"/>
          <w:szCs w:val="24"/>
        </w:rPr>
        <w:t xml:space="preserve">, or </w:t>
      </w:r>
      <w:proofErr w:type="spellStart"/>
      <w:r w:rsidRPr="00092D6D">
        <w:rPr>
          <w:sz w:val="24"/>
          <w:szCs w:val="24"/>
        </w:rPr>
        <w:t>hypofunction</w:t>
      </w:r>
      <w:proofErr w:type="spellEnd"/>
      <w:r w:rsidRPr="00092D6D">
        <w:rPr>
          <w:sz w:val="24"/>
          <w:szCs w:val="24"/>
        </w:rPr>
        <w:t xml:space="preserve"> of </w:t>
      </w:r>
      <w:r w:rsidR="003C2516">
        <w:rPr>
          <w:sz w:val="24"/>
          <w:szCs w:val="24"/>
        </w:rPr>
        <w:t xml:space="preserve">the </w:t>
      </w:r>
      <w:r w:rsidRPr="00092D6D">
        <w:rPr>
          <w:sz w:val="24"/>
          <w:szCs w:val="24"/>
        </w:rPr>
        <w:t>thyroid</w:t>
      </w:r>
      <w:r w:rsidR="003C2516">
        <w:rPr>
          <w:sz w:val="24"/>
          <w:szCs w:val="24"/>
        </w:rPr>
        <w:t xml:space="preserve">. </w:t>
      </w:r>
      <w:r w:rsidRPr="00092D6D">
        <w:rPr>
          <w:sz w:val="24"/>
          <w:szCs w:val="24"/>
        </w:rPr>
        <w:t xml:space="preserve"> </w:t>
      </w:r>
      <w:r w:rsidR="003C2516" w:rsidRPr="003C2516">
        <w:rPr>
          <w:sz w:val="24"/>
          <w:szCs w:val="24"/>
        </w:rPr>
        <w:t>Routine screening (V70.0) is not a covered service for Medicare patients</w:t>
      </w:r>
      <w:r w:rsidR="003C2516">
        <w:rPr>
          <w:sz w:val="24"/>
          <w:szCs w:val="24"/>
        </w:rPr>
        <w:t>, but testing</w:t>
      </w:r>
      <w:r w:rsidRPr="00092D6D">
        <w:rPr>
          <w:sz w:val="24"/>
          <w:szCs w:val="24"/>
        </w:rPr>
        <w:t xml:space="preserve"> may be considered reasonable and necessary to:</w:t>
      </w:r>
    </w:p>
    <w:p w:rsidR="00200009" w:rsidRPr="00092D6D" w:rsidRDefault="00200009" w:rsidP="00092D6D">
      <w:pPr>
        <w:pStyle w:val="ListParagraph"/>
        <w:numPr>
          <w:ilvl w:val="0"/>
          <w:numId w:val="1"/>
        </w:numPr>
        <w:spacing w:line="240" w:lineRule="auto"/>
        <w:rPr>
          <w:sz w:val="24"/>
          <w:szCs w:val="24"/>
        </w:rPr>
      </w:pPr>
      <w:r w:rsidRPr="00092D6D">
        <w:rPr>
          <w:sz w:val="24"/>
          <w:szCs w:val="24"/>
        </w:rPr>
        <w:t>Distinguish between primary and secondary hypothyroidism</w:t>
      </w:r>
    </w:p>
    <w:p w:rsidR="00200009" w:rsidRPr="00092D6D" w:rsidRDefault="00200009" w:rsidP="00092D6D">
      <w:pPr>
        <w:pStyle w:val="ListParagraph"/>
        <w:numPr>
          <w:ilvl w:val="0"/>
          <w:numId w:val="1"/>
        </w:numPr>
        <w:spacing w:line="240" w:lineRule="auto"/>
        <w:rPr>
          <w:sz w:val="24"/>
          <w:szCs w:val="24"/>
        </w:rPr>
      </w:pPr>
      <w:r w:rsidRPr="00092D6D">
        <w:rPr>
          <w:sz w:val="24"/>
          <w:szCs w:val="24"/>
        </w:rPr>
        <w:t>Confirm or rule out primary hypothyroidism</w:t>
      </w:r>
    </w:p>
    <w:p w:rsidR="00200009" w:rsidRPr="00092D6D" w:rsidRDefault="00200009" w:rsidP="00092D6D">
      <w:pPr>
        <w:pStyle w:val="ListParagraph"/>
        <w:numPr>
          <w:ilvl w:val="0"/>
          <w:numId w:val="1"/>
        </w:numPr>
        <w:spacing w:line="240" w:lineRule="auto"/>
        <w:rPr>
          <w:sz w:val="24"/>
          <w:szCs w:val="24"/>
        </w:rPr>
      </w:pPr>
      <w:r w:rsidRPr="00092D6D">
        <w:rPr>
          <w:sz w:val="24"/>
          <w:szCs w:val="24"/>
        </w:rPr>
        <w:t>Monitor thyroid hormone levels in patients with goiter, thyroid nodules or thyroid cancer</w:t>
      </w:r>
    </w:p>
    <w:p w:rsidR="00200009" w:rsidRPr="00092D6D" w:rsidRDefault="00200009" w:rsidP="00092D6D">
      <w:pPr>
        <w:pStyle w:val="ListParagraph"/>
        <w:numPr>
          <w:ilvl w:val="0"/>
          <w:numId w:val="1"/>
        </w:numPr>
        <w:spacing w:line="240" w:lineRule="auto"/>
        <w:rPr>
          <w:sz w:val="24"/>
          <w:szCs w:val="24"/>
        </w:rPr>
      </w:pPr>
      <w:r w:rsidRPr="00092D6D">
        <w:rPr>
          <w:sz w:val="24"/>
          <w:szCs w:val="24"/>
        </w:rPr>
        <w:t>Confirm or rule out primary hyperthyroidism</w:t>
      </w:r>
    </w:p>
    <w:p w:rsidR="00200009" w:rsidRPr="00092D6D" w:rsidRDefault="00200009" w:rsidP="00092D6D">
      <w:pPr>
        <w:pStyle w:val="ListParagraph"/>
        <w:numPr>
          <w:ilvl w:val="0"/>
          <w:numId w:val="1"/>
        </w:numPr>
        <w:spacing w:line="240" w:lineRule="auto"/>
        <w:rPr>
          <w:sz w:val="24"/>
          <w:szCs w:val="24"/>
        </w:rPr>
      </w:pPr>
      <w:r w:rsidRPr="00092D6D">
        <w:rPr>
          <w:sz w:val="24"/>
          <w:szCs w:val="24"/>
        </w:rPr>
        <w:t>Monitor therapy in patients with hyper or hypothyroidism</w:t>
      </w:r>
    </w:p>
    <w:p w:rsidR="003C2516" w:rsidRDefault="00200009" w:rsidP="00092D6D">
      <w:pPr>
        <w:spacing w:line="240" w:lineRule="auto"/>
        <w:rPr>
          <w:sz w:val="24"/>
          <w:szCs w:val="24"/>
        </w:rPr>
      </w:pPr>
      <w:r w:rsidRPr="00092D6D">
        <w:rPr>
          <w:sz w:val="24"/>
          <w:szCs w:val="24"/>
        </w:rPr>
        <w:t xml:space="preserve">Thyroid testing may also be medically necessary in patients with metabolic disorders, malnutrition, hyperlipidemia, certain types of anemia, psychosis, menstrual disorders, skin conditions, etc. along with a wide variety of signs and symptoms, including alterations in consciousness, malaise, etc. </w:t>
      </w:r>
    </w:p>
    <w:p w:rsidR="00200009" w:rsidRPr="00092D6D" w:rsidRDefault="003C2516" w:rsidP="00092D6D">
      <w:pPr>
        <w:spacing w:line="240" w:lineRule="auto"/>
        <w:rPr>
          <w:sz w:val="24"/>
          <w:szCs w:val="24"/>
        </w:rPr>
      </w:pPr>
      <w:r w:rsidRPr="003C2516">
        <w:rPr>
          <w:sz w:val="24"/>
          <w:szCs w:val="24"/>
        </w:rPr>
        <w:t>A few examples of the more common diagnosis codes are 242.00, 244.9, 250.00, 401.9, or 780.79. If these or other codes are not applicable, please discuss with your patient and have them sign the Advanced Beneficiary Notice (ABN) for billing purposes.</w:t>
      </w:r>
    </w:p>
    <w:p w:rsidR="00200009" w:rsidRDefault="00200009" w:rsidP="00092D6D">
      <w:pPr>
        <w:spacing w:line="240" w:lineRule="auto"/>
        <w:rPr>
          <w:sz w:val="24"/>
          <w:szCs w:val="24"/>
        </w:rPr>
      </w:pPr>
      <w:r w:rsidRPr="00092D6D">
        <w:rPr>
          <w:sz w:val="24"/>
          <w:szCs w:val="24"/>
        </w:rPr>
        <w:t xml:space="preserve">Testing may be covered up to two times a year in clinically stable patients; more frequent testing may be reasonable and necessary for patients whose thyroid therapy has been changed. </w:t>
      </w:r>
    </w:p>
    <w:p w:rsidR="00442620" w:rsidRPr="00442620" w:rsidRDefault="00442620" w:rsidP="00442620">
      <w:pPr>
        <w:spacing w:line="240" w:lineRule="auto"/>
        <w:rPr>
          <w:sz w:val="24"/>
          <w:szCs w:val="24"/>
        </w:rPr>
      </w:pPr>
      <w:r w:rsidRPr="00442620">
        <w:rPr>
          <w:sz w:val="24"/>
          <w:szCs w:val="24"/>
        </w:rPr>
        <w:t>As a reminder, the preferred algorithm for assessment of thyroid function is to first perform a TSH (Thyroid Stimulating Hormone) analysis.  If the value fall</w:t>
      </w:r>
      <w:r w:rsidR="00C867C0">
        <w:rPr>
          <w:sz w:val="24"/>
          <w:szCs w:val="24"/>
        </w:rPr>
        <w:t>s</w:t>
      </w:r>
      <w:r w:rsidRPr="00442620">
        <w:rPr>
          <w:sz w:val="24"/>
          <w:szCs w:val="24"/>
        </w:rPr>
        <w:t xml:space="preserve"> outside of the range </w:t>
      </w:r>
      <w:proofErr w:type="gramStart"/>
      <w:r w:rsidRPr="00442620">
        <w:rPr>
          <w:sz w:val="24"/>
          <w:szCs w:val="24"/>
        </w:rPr>
        <w:t xml:space="preserve">0.45 to 4.5 </w:t>
      </w:r>
      <w:proofErr w:type="spellStart"/>
      <w:r w:rsidRPr="00442620">
        <w:rPr>
          <w:sz w:val="24"/>
          <w:szCs w:val="24"/>
        </w:rPr>
        <w:t>mIU</w:t>
      </w:r>
      <w:proofErr w:type="spellEnd"/>
      <w:r w:rsidRPr="00442620">
        <w:rPr>
          <w:sz w:val="24"/>
          <w:szCs w:val="24"/>
        </w:rPr>
        <w:t>/L,</w:t>
      </w:r>
      <w:proofErr w:type="gramEnd"/>
      <w:r w:rsidRPr="00442620">
        <w:rPr>
          <w:sz w:val="24"/>
          <w:szCs w:val="24"/>
        </w:rPr>
        <w:t xml:space="preserve"> then a free-T4 (free thyroxine) test should be performed.  The University of Virginia Medical Laboratories offers this reflex algorithm as TSH Reflexive in all ordering systems</w:t>
      </w:r>
      <w:r>
        <w:rPr>
          <w:sz w:val="24"/>
          <w:szCs w:val="24"/>
        </w:rPr>
        <w:t>.</w:t>
      </w:r>
      <w:r w:rsidRPr="00442620">
        <w:rPr>
          <w:sz w:val="24"/>
          <w:szCs w:val="24"/>
        </w:rPr>
        <w:t xml:space="preserve">  Please contact the Clinical Chemistry attending (pic 1657) or resident (pic 1267) on-call if you have any questions.</w:t>
      </w:r>
    </w:p>
    <w:p w:rsidR="00442620" w:rsidRDefault="00442620">
      <w:pPr>
        <w:rPr>
          <w:b/>
          <w:sz w:val="24"/>
          <w:szCs w:val="24"/>
        </w:rPr>
      </w:pPr>
      <w:r>
        <w:rPr>
          <w:b/>
          <w:sz w:val="24"/>
          <w:szCs w:val="24"/>
        </w:rPr>
        <w:br w:type="page"/>
      </w:r>
    </w:p>
    <w:p w:rsidR="00442620" w:rsidRPr="00092D6D" w:rsidRDefault="00442620" w:rsidP="00442620">
      <w:pPr>
        <w:spacing w:line="240" w:lineRule="auto"/>
        <w:jc w:val="center"/>
        <w:rPr>
          <w:sz w:val="24"/>
          <w:szCs w:val="24"/>
        </w:rPr>
      </w:pPr>
      <w:r w:rsidRPr="00092D6D">
        <w:rPr>
          <w:b/>
          <w:sz w:val="24"/>
          <w:szCs w:val="24"/>
        </w:rPr>
        <w:lastRenderedPageBreak/>
        <w:t>Samples for Ammonia Analysis “on-ice”</w:t>
      </w:r>
    </w:p>
    <w:p w:rsidR="00442620" w:rsidRPr="00092D6D" w:rsidRDefault="00442620" w:rsidP="00442620">
      <w:pPr>
        <w:spacing w:line="240" w:lineRule="auto"/>
        <w:rPr>
          <w:sz w:val="24"/>
          <w:szCs w:val="24"/>
        </w:rPr>
      </w:pPr>
      <w:r w:rsidRPr="00092D6D">
        <w:rPr>
          <w:sz w:val="24"/>
          <w:szCs w:val="24"/>
        </w:rPr>
        <w:t>Ammonia is a natural metabolite that continues to be formed in whole blood after a sample is drawn.  This process is slowed when the blood sample is chilled after drawing.  Thus current guidelines indicate that samples for ammonia analysis should be submitted on ice.  Effective January 15, 2015, samples will be rejected if this requirement is not met.</w:t>
      </w:r>
    </w:p>
    <w:p w:rsidR="00442620" w:rsidRPr="00092D6D" w:rsidRDefault="00442620" w:rsidP="00442620">
      <w:pPr>
        <w:spacing w:line="240" w:lineRule="auto"/>
        <w:rPr>
          <w:sz w:val="24"/>
          <w:szCs w:val="24"/>
        </w:rPr>
      </w:pPr>
      <w:r w:rsidRPr="00092D6D">
        <w:rPr>
          <w:sz w:val="24"/>
          <w:szCs w:val="24"/>
        </w:rPr>
        <w:t>A reminder:  On-ice means placing a bag of ice into a second bag that contains the sample.  These should be placed in a third bag prior to submission to the Core Laboratory.  Do not place the sample in the bag with ice as this causes the label to disintegrate.</w:t>
      </w:r>
    </w:p>
    <w:p w:rsidR="00442620" w:rsidRPr="00092D6D" w:rsidRDefault="00442620" w:rsidP="00092D6D">
      <w:pPr>
        <w:spacing w:line="240" w:lineRule="auto"/>
        <w:rPr>
          <w:sz w:val="24"/>
          <w:szCs w:val="24"/>
        </w:rPr>
      </w:pPr>
    </w:p>
    <w:p w:rsidR="00092D6D" w:rsidRDefault="00092D6D" w:rsidP="00092D6D">
      <w:pPr>
        <w:tabs>
          <w:tab w:val="left" w:pos="720"/>
          <w:tab w:val="left" w:pos="810"/>
        </w:tabs>
        <w:spacing w:line="240" w:lineRule="auto"/>
        <w:jc w:val="center"/>
        <w:rPr>
          <w:b/>
          <w:sz w:val="24"/>
          <w:szCs w:val="24"/>
        </w:rPr>
      </w:pPr>
    </w:p>
    <w:p w:rsidR="00B04AA6" w:rsidRDefault="00B04AA6" w:rsidP="00B04AA6">
      <w:pPr>
        <w:jc w:val="both"/>
        <w:rPr>
          <w:b/>
        </w:rPr>
      </w:pPr>
    </w:p>
    <w:p w:rsidR="00092D6D" w:rsidRPr="00092D6D" w:rsidRDefault="00092D6D" w:rsidP="00092D6D">
      <w:pPr>
        <w:spacing w:line="240" w:lineRule="auto"/>
        <w:jc w:val="both"/>
        <w:rPr>
          <w:sz w:val="24"/>
          <w:szCs w:val="24"/>
        </w:rPr>
      </w:pPr>
    </w:p>
    <w:p w:rsidR="00354003" w:rsidRPr="00092D6D" w:rsidRDefault="00354003" w:rsidP="00092D6D">
      <w:pPr>
        <w:spacing w:line="240" w:lineRule="auto"/>
        <w:rPr>
          <w:sz w:val="24"/>
          <w:szCs w:val="24"/>
        </w:rPr>
      </w:pPr>
    </w:p>
    <w:sectPr w:rsidR="00354003" w:rsidRPr="00092D6D" w:rsidSect="009B7A3F">
      <w:footerReference w:type="default" r:id="rId7"/>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D32B5" w:rsidRDefault="003D32B5" w:rsidP="006E129A">
      <w:pPr>
        <w:spacing w:after="0" w:line="240" w:lineRule="auto"/>
      </w:pPr>
      <w:r>
        <w:separator/>
      </w:r>
    </w:p>
  </w:endnote>
  <w:endnote w:type="continuationSeparator" w:id="0">
    <w:p w:rsidR="003D32B5" w:rsidRDefault="003D32B5" w:rsidP="006E129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129A" w:rsidRPr="00C867C0" w:rsidRDefault="006E129A" w:rsidP="006E129A">
    <w:pPr>
      <w:pStyle w:val="Footer"/>
      <w:jc w:val="center"/>
    </w:pPr>
    <w:r w:rsidRPr="00C867C0">
      <w:t xml:space="preserve">Page </w:t>
    </w:r>
    <w:r w:rsidR="009B7A3F" w:rsidRPr="00C867C0">
      <w:fldChar w:fldCharType="begin"/>
    </w:r>
    <w:r w:rsidRPr="00C867C0">
      <w:instrText xml:space="preserve"> PAGE  \* Arabic  \* MERGEFORMAT </w:instrText>
    </w:r>
    <w:r w:rsidR="009B7A3F" w:rsidRPr="00C867C0">
      <w:fldChar w:fldCharType="separate"/>
    </w:r>
    <w:r w:rsidR="00F527B7">
      <w:rPr>
        <w:noProof/>
      </w:rPr>
      <w:t>2</w:t>
    </w:r>
    <w:r w:rsidR="009B7A3F" w:rsidRPr="00C867C0">
      <w:fldChar w:fldCharType="end"/>
    </w:r>
    <w:r w:rsidRPr="00C867C0">
      <w:t xml:space="preserve"> of </w:t>
    </w:r>
    <w:fldSimple w:instr=" NUMPAGES  \* Arabic  \* MERGEFORMAT ">
      <w:r w:rsidR="00F527B7">
        <w:rPr>
          <w:noProof/>
        </w:rPr>
        <w:t>3</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D32B5" w:rsidRDefault="003D32B5" w:rsidP="006E129A">
      <w:pPr>
        <w:spacing w:after="0" w:line="240" w:lineRule="auto"/>
      </w:pPr>
      <w:r>
        <w:separator/>
      </w:r>
    </w:p>
  </w:footnote>
  <w:footnote w:type="continuationSeparator" w:id="0">
    <w:p w:rsidR="003D32B5" w:rsidRDefault="003D32B5" w:rsidP="006E129A">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0331C96"/>
    <w:multiLevelType w:val="hybridMultilevel"/>
    <w:tmpl w:val="DF5C86A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nsid w:val="192B3F91"/>
    <w:multiLevelType w:val="hybridMultilevel"/>
    <w:tmpl w:val="AAEA74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D251F7F"/>
    <w:multiLevelType w:val="hybridMultilevel"/>
    <w:tmpl w:val="6EB0B1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200009"/>
    <w:rsid w:val="00092D6D"/>
    <w:rsid w:val="00200009"/>
    <w:rsid w:val="002B0C7D"/>
    <w:rsid w:val="00354003"/>
    <w:rsid w:val="003C2516"/>
    <w:rsid w:val="003D32B5"/>
    <w:rsid w:val="00442620"/>
    <w:rsid w:val="005B1124"/>
    <w:rsid w:val="006E129A"/>
    <w:rsid w:val="008D651B"/>
    <w:rsid w:val="009B7A3F"/>
    <w:rsid w:val="00B04AA6"/>
    <w:rsid w:val="00C867C0"/>
    <w:rsid w:val="00CE1D2C"/>
    <w:rsid w:val="00DA5575"/>
    <w:rsid w:val="00F527B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00009"/>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99"/>
    <w:qFormat/>
    <w:rsid w:val="00200009"/>
    <w:pPr>
      <w:spacing w:after="0" w:line="240" w:lineRule="auto"/>
    </w:pPr>
    <w:rPr>
      <w:rFonts w:ascii="Times New Roman" w:eastAsia="MS Mincho" w:hAnsi="Times New Roman" w:cs="Times New Roman"/>
      <w:sz w:val="24"/>
      <w:szCs w:val="24"/>
      <w:lang w:eastAsia="ja-JP"/>
    </w:rPr>
  </w:style>
  <w:style w:type="paragraph" w:styleId="ListParagraph">
    <w:name w:val="List Paragraph"/>
    <w:basedOn w:val="Normal"/>
    <w:uiPriority w:val="34"/>
    <w:qFormat/>
    <w:rsid w:val="00200009"/>
    <w:pPr>
      <w:ind w:left="720"/>
      <w:contextualSpacing/>
    </w:pPr>
  </w:style>
  <w:style w:type="paragraph" w:styleId="Header">
    <w:name w:val="header"/>
    <w:basedOn w:val="Normal"/>
    <w:link w:val="HeaderChar"/>
    <w:uiPriority w:val="99"/>
    <w:unhideWhenUsed/>
    <w:rsid w:val="006E129A"/>
    <w:pPr>
      <w:tabs>
        <w:tab w:val="center" w:pos="4680"/>
        <w:tab w:val="right" w:pos="9360"/>
      </w:tabs>
      <w:spacing w:after="0" w:line="240" w:lineRule="auto"/>
    </w:pPr>
  </w:style>
  <w:style w:type="character" w:customStyle="1" w:styleId="HeaderChar">
    <w:name w:val="Header Char"/>
    <w:basedOn w:val="DefaultParagraphFont"/>
    <w:link w:val="Header"/>
    <w:uiPriority w:val="99"/>
    <w:rsid w:val="006E129A"/>
  </w:style>
  <w:style w:type="paragraph" w:styleId="Footer">
    <w:name w:val="footer"/>
    <w:basedOn w:val="Normal"/>
    <w:link w:val="FooterChar"/>
    <w:uiPriority w:val="99"/>
    <w:unhideWhenUsed/>
    <w:rsid w:val="006E129A"/>
    <w:pPr>
      <w:tabs>
        <w:tab w:val="center" w:pos="4680"/>
        <w:tab w:val="right" w:pos="9360"/>
      </w:tabs>
      <w:spacing w:after="0" w:line="240" w:lineRule="auto"/>
    </w:pPr>
  </w:style>
  <w:style w:type="character" w:customStyle="1" w:styleId="FooterChar">
    <w:name w:val="Footer Char"/>
    <w:basedOn w:val="DefaultParagraphFont"/>
    <w:link w:val="Footer"/>
    <w:uiPriority w:val="99"/>
    <w:rsid w:val="006E129A"/>
  </w:style>
  <w:style w:type="paragraph" w:styleId="BalloonText">
    <w:name w:val="Balloon Text"/>
    <w:basedOn w:val="Normal"/>
    <w:link w:val="BalloonTextChar"/>
    <w:uiPriority w:val="99"/>
    <w:semiHidden/>
    <w:unhideWhenUsed/>
    <w:rsid w:val="0044262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4262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0000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99"/>
    <w:qFormat/>
    <w:rsid w:val="00200009"/>
    <w:pPr>
      <w:spacing w:after="0" w:line="240" w:lineRule="auto"/>
    </w:pPr>
    <w:rPr>
      <w:rFonts w:ascii="Times New Roman" w:eastAsia="MS Mincho" w:hAnsi="Times New Roman" w:cs="Times New Roman"/>
      <w:sz w:val="24"/>
      <w:szCs w:val="24"/>
      <w:lang w:eastAsia="ja-JP"/>
    </w:rPr>
  </w:style>
  <w:style w:type="paragraph" w:styleId="ListParagraph">
    <w:name w:val="List Paragraph"/>
    <w:basedOn w:val="Normal"/>
    <w:uiPriority w:val="34"/>
    <w:qFormat/>
    <w:rsid w:val="00200009"/>
    <w:pPr>
      <w:ind w:left="720"/>
      <w:contextualSpacing/>
    </w:pPr>
  </w:style>
  <w:style w:type="paragraph" w:styleId="Header">
    <w:name w:val="header"/>
    <w:basedOn w:val="Normal"/>
    <w:link w:val="HeaderChar"/>
    <w:uiPriority w:val="99"/>
    <w:unhideWhenUsed/>
    <w:rsid w:val="006E129A"/>
    <w:pPr>
      <w:tabs>
        <w:tab w:val="center" w:pos="4680"/>
        <w:tab w:val="right" w:pos="9360"/>
      </w:tabs>
      <w:spacing w:after="0" w:line="240" w:lineRule="auto"/>
    </w:pPr>
  </w:style>
  <w:style w:type="character" w:customStyle="1" w:styleId="HeaderChar">
    <w:name w:val="Header Char"/>
    <w:basedOn w:val="DefaultParagraphFont"/>
    <w:link w:val="Header"/>
    <w:uiPriority w:val="99"/>
    <w:rsid w:val="006E129A"/>
  </w:style>
  <w:style w:type="paragraph" w:styleId="Footer">
    <w:name w:val="footer"/>
    <w:basedOn w:val="Normal"/>
    <w:link w:val="FooterChar"/>
    <w:uiPriority w:val="99"/>
    <w:unhideWhenUsed/>
    <w:rsid w:val="006E129A"/>
    <w:pPr>
      <w:tabs>
        <w:tab w:val="center" w:pos="4680"/>
        <w:tab w:val="right" w:pos="9360"/>
      </w:tabs>
      <w:spacing w:after="0" w:line="240" w:lineRule="auto"/>
    </w:pPr>
  </w:style>
  <w:style w:type="character" w:customStyle="1" w:styleId="FooterChar">
    <w:name w:val="Footer Char"/>
    <w:basedOn w:val="DefaultParagraphFont"/>
    <w:link w:val="Footer"/>
    <w:uiPriority w:val="99"/>
    <w:rsid w:val="006E129A"/>
  </w:style>
  <w:style w:type="paragraph" w:styleId="BalloonText">
    <w:name w:val="Balloon Text"/>
    <w:basedOn w:val="Normal"/>
    <w:link w:val="BalloonTextChar"/>
    <w:uiPriority w:val="99"/>
    <w:semiHidden/>
    <w:unhideWhenUsed/>
    <w:rsid w:val="0044262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42620"/>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710</Words>
  <Characters>4053</Characters>
  <Application>Microsoft Office Word</Application>
  <DocSecurity>4</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UVA Health System</Company>
  <LinksUpToDate>false</LinksUpToDate>
  <CharactersWithSpaces>4754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dmh2t</dc:creator>
  <cp:lastModifiedBy>Pannell, Christy W *HS</cp:lastModifiedBy>
  <cp:revision>2</cp:revision>
  <cp:lastPrinted>2015-04-27T13:52:00Z</cp:lastPrinted>
  <dcterms:created xsi:type="dcterms:W3CDTF">2015-04-27T13:53:00Z</dcterms:created>
  <dcterms:modified xsi:type="dcterms:W3CDTF">2015-04-27T13:53:00Z</dcterms:modified>
</cp:coreProperties>
</file>