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56215" w:rsidRPr="0043707F" w:rsidRDefault="00256215" w:rsidP="00256215">
      <w:pPr>
        <w:pStyle w:val="NoSpacing"/>
        <w:jc w:val="center"/>
        <w:outlineLvl w:val="0"/>
        <w:rPr>
          <w:rFonts w:ascii="Calibri" w:hAnsi="Calibri"/>
          <w:sz w:val="28"/>
          <w:szCs w:val="28"/>
        </w:rPr>
      </w:pPr>
      <w:r w:rsidRPr="0043707F">
        <w:rPr>
          <w:rFonts w:ascii="Calibri" w:hAnsi="Calibri"/>
          <w:sz w:val="28"/>
          <w:szCs w:val="28"/>
        </w:rPr>
        <w:t>University of Virginia Health System</w:t>
      </w:r>
    </w:p>
    <w:p w:rsidR="00256215" w:rsidRPr="0043707F" w:rsidRDefault="00256215" w:rsidP="00256215">
      <w:pPr>
        <w:pStyle w:val="NoSpacing"/>
        <w:jc w:val="center"/>
        <w:outlineLvl w:val="0"/>
        <w:rPr>
          <w:rFonts w:ascii="Calibri" w:hAnsi="Calibri"/>
          <w:b/>
          <w:snapToGrid w:val="0"/>
          <w:sz w:val="28"/>
          <w:szCs w:val="28"/>
        </w:rPr>
      </w:pPr>
      <w:r w:rsidRPr="0043707F">
        <w:rPr>
          <w:rFonts w:ascii="Calibri" w:hAnsi="Calibri"/>
          <w:b/>
          <w:snapToGrid w:val="0"/>
          <w:sz w:val="28"/>
          <w:szCs w:val="28"/>
        </w:rPr>
        <w:t>Medical Laboratories</w:t>
      </w:r>
    </w:p>
    <w:p w:rsidR="00256215" w:rsidRPr="0043707F" w:rsidRDefault="00256215" w:rsidP="00256215">
      <w:pPr>
        <w:pStyle w:val="NoSpacing"/>
        <w:jc w:val="center"/>
        <w:outlineLvl w:val="0"/>
        <w:rPr>
          <w:rFonts w:ascii="Calibri" w:hAnsi="Calibri"/>
          <w:b/>
          <w:i/>
          <w:snapToGrid w:val="0"/>
          <w:sz w:val="28"/>
          <w:szCs w:val="28"/>
        </w:rPr>
      </w:pPr>
      <w:r w:rsidRPr="0043707F">
        <w:rPr>
          <w:rFonts w:ascii="Calibri" w:hAnsi="Calibri"/>
          <w:b/>
          <w:i/>
          <w:snapToGrid w:val="0"/>
          <w:sz w:val="28"/>
          <w:szCs w:val="28"/>
        </w:rPr>
        <w:t>“Quality You Expect, Service You Deserve”</w:t>
      </w:r>
    </w:p>
    <w:p w:rsidR="00256215" w:rsidRPr="0043707F" w:rsidRDefault="00256215" w:rsidP="00256215">
      <w:pPr>
        <w:pStyle w:val="NoSpacing"/>
        <w:jc w:val="center"/>
        <w:rPr>
          <w:rFonts w:ascii="Calibri" w:hAnsi="Calibri"/>
          <w:b/>
          <w:i/>
          <w:snapToGrid w:val="0"/>
        </w:rPr>
      </w:pPr>
    </w:p>
    <w:p w:rsidR="00256215" w:rsidRPr="0043707F" w:rsidRDefault="00256215" w:rsidP="00256215">
      <w:pPr>
        <w:keepNext/>
        <w:widowControl w:val="0"/>
        <w:jc w:val="center"/>
        <w:outlineLvl w:val="0"/>
        <w:rPr>
          <w:rFonts w:ascii="Calibri" w:hAnsi="Calibri"/>
          <w:b/>
          <w:i/>
          <w:snapToGrid w:val="0"/>
          <w:sz w:val="28"/>
          <w:szCs w:val="28"/>
          <w:u w:val="single"/>
        </w:rPr>
      </w:pPr>
      <w:r w:rsidRPr="0043707F">
        <w:rPr>
          <w:rFonts w:ascii="Calibri" w:hAnsi="Calibri"/>
          <w:b/>
          <w:i/>
          <w:snapToGrid w:val="0"/>
          <w:sz w:val="28"/>
          <w:szCs w:val="28"/>
          <w:u w:val="single"/>
        </w:rPr>
        <w:t>LABORATORY MEDICINE UPDATE</w:t>
      </w:r>
    </w:p>
    <w:p w:rsidR="00915C2F" w:rsidRDefault="00256215" w:rsidP="00256215">
      <w:pPr>
        <w:jc w:val="center"/>
        <w:rPr>
          <w:rFonts w:ascii="Calibri" w:hAnsi="Calibri"/>
          <w:snapToGrid w:val="0"/>
          <w:sz w:val="28"/>
          <w:szCs w:val="28"/>
        </w:rPr>
      </w:pPr>
      <w:r>
        <w:rPr>
          <w:rFonts w:ascii="Calibri" w:hAnsi="Calibri"/>
          <w:snapToGrid w:val="0"/>
          <w:sz w:val="28"/>
          <w:szCs w:val="28"/>
          <w:u w:val="single"/>
        </w:rPr>
        <w:t>July 31</w:t>
      </w:r>
      <w:r w:rsidRPr="0043707F">
        <w:rPr>
          <w:rFonts w:ascii="Calibri" w:hAnsi="Calibri"/>
          <w:snapToGrid w:val="0"/>
          <w:sz w:val="28"/>
          <w:szCs w:val="28"/>
          <w:u w:val="single"/>
        </w:rPr>
        <w:t>, 201</w:t>
      </w:r>
      <w:r>
        <w:rPr>
          <w:rFonts w:ascii="Calibri" w:hAnsi="Calibri"/>
          <w:snapToGrid w:val="0"/>
          <w:sz w:val="28"/>
          <w:szCs w:val="28"/>
          <w:u w:val="single"/>
        </w:rPr>
        <w:t>5</w:t>
      </w:r>
    </w:p>
    <w:p w:rsidR="00256215" w:rsidRDefault="00256215" w:rsidP="00256215">
      <w:pPr>
        <w:spacing w:line="240" w:lineRule="auto"/>
        <w:jc w:val="center"/>
        <w:rPr>
          <w:b/>
          <w:sz w:val="24"/>
          <w:szCs w:val="24"/>
        </w:rPr>
      </w:pPr>
    </w:p>
    <w:p w:rsidR="00256215" w:rsidRPr="00256215" w:rsidRDefault="00256215" w:rsidP="00256215">
      <w:pPr>
        <w:spacing w:line="240" w:lineRule="auto"/>
        <w:jc w:val="center"/>
        <w:rPr>
          <w:b/>
          <w:sz w:val="24"/>
          <w:szCs w:val="24"/>
        </w:rPr>
      </w:pPr>
      <w:r w:rsidRPr="00256215">
        <w:rPr>
          <w:b/>
          <w:sz w:val="24"/>
          <w:szCs w:val="24"/>
        </w:rPr>
        <w:t>New Reference Ranges for Coagulation Tests</w:t>
      </w:r>
    </w:p>
    <w:p w:rsidR="00256215" w:rsidRPr="00256215" w:rsidRDefault="00256215" w:rsidP="00256215">
      <w:pPr>
        <w:spacing w:line="240" w:lineRule="auto"/>
        <w:rPr>
          <w:sz w:val="24"/>
          <w:szCs w:val="24"/>
        </w:rPr>
      </w:pPr>
      <w:r w:rsidRPr="00256215">
        <w:rPr>
          <w:sz w:val="24"/>
          <w:szCs w:val="24"/>
        </w:rPr>
        <w:t>On July 21, 2015, the Coagulation section of the Core Laboratories converted to the most recent version of our current ACL TOP instrumentation.  With the implementation of the new analyzers and reagent system the following new reference ranges are now in place:</w:t>
      </w:r>
    </w:p>
    <w:p w:rsidR="00256215" w:rsidRPr="00256215" w:rsidRDefault="00256215" w:rsidP="00256215">
      <w:pPr>
        <w:spacing w:after="0" w:line="240" w:lineRule="auto"/>
        <w:rPr>
          <w:rFonts w:eastAsia="Times New Roman" w:cs="Times New Roman"/>
          <w:sz w:val="24"/>
          <w:szCs w:val="24"/>
        </w:rPr>
      </w:pPr>
      <w:r w:rsidRPr="00256215">
        <w:rPr>
          <w:rFonts w:eastAsia="Times New Roman" w:cs="Times New Roman"/>
          <w:sz w:val="24"/>
          <w:szCs w:val="24"/>
        </w:rPr>
        <w:tab/>
      </w:r>
      <w:r w:rsidRPr="00256215">
        <w:rPr>
          <w:rFonts w:eastAsia="Times New Roman" w:cs="Times New Roman"/>
          <w:sz w:val="24"/>
          <w:szCs w:val="24"/>
        </w:rPr>
        <w:tab/>
        <w:t>APTT</w:t>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t>27.8 - 37.6 seconds</w:t>
      </w:r>
    </w:p>
    <w:p w:rsidR="00256215" w:rsidRPr="00256215" w:rsidRDefault="00256215" w:rsidP="00256215">
      <w:pPr>
        <w:spacing w:after="0" w:line="240" w:lineRule="auto"/>
        <w:rPr>
          <w:rFonts w:eastAsia="Times New Roman" w:cs="Times New Roman"/>
          <w:sz w:val="24"/>
          <w:szCs w:val="24"/>
        </w:rPr>
      </w:pPr>
      <w:r w:rsidRPr="00256215">
        <w:rPr>
          <w:rFonts w:eastAsia="Times New Roman" w:cs="Times New Roman"/>
          <w:sz w:val="24"/>
          <w:szCs w:val="24"/>
        </w:rPr>
        <w:tab/>
      </w:r>
      <w:r w:rsidRPr="00256215">
        <w:rPr>
          <w:rFonts w:eastAsia="Times New Roman" w:cs="Times New Roman"/>
          <w:sz w:val="24"/>
          <w:szCs w:val="24"/>
        </w:rPr>
        <w:tab/>
        <w:t>Heparin removed APTT</w:t>
      </w:r>
      <w:r w:rsidRPr="00256215">
        <w:rPr>
          <w:rFonts w:eastAsia="Times New Roman" w:cs="Times New Roman"/>
          <w:sz w:val="24"/>
          <w:szCs w:val="24"/>
        </w:rPr>
        <w:tab/>
      </w:r>
      <w:r w:rsidRPr="00256215">
        <w:rPr>
          <w:rFonts w:eastAsia="Times New Roman" w:cs="Times New Roman"/>
          <w:sz w:val="24"/>
          <w:szCs w:val="24"/>
        </w:rPr>
        <w:tab/>
        <w:t>27.8 - 37.6 seconds</w:t>
      </w:r>
    </w:p>
    <w:p w:rsidR="00256215" w:rsidRPr="00256215" w:rsidRDefault="00256215" w:rsidP="00256215">
      <w:pPr>
        <w:spacing w:after="0" w:line="240" w:lineRule="auto"/>
        <w:rPr>
          <w:rFonts w:eastAsia="Times New Roman" w:cs="Times New Roman"/>
          <w:sz w:val="24"/>
          <w:szCs w:val="24"/>
        </w:rPr>
      </w:pPr>
      <w:r w:rsidRPr="00256215">
        <w:rPr>
          <w:rFonts w:eastAsia="Times New Roman" w:cs="Times New Roman"/>
          <w:sz w:val="24"/>
          <w:szCs w:val="24"/>
        </w:rPr>
        <w:tab/>
      </w:r>
      <w:r w:rsidRPr="00256215">
        <w:rPr>
          <w:rFonts w:eastAsia="Times New Roman" w:cs="Times New Roman"/>
          <w:sz w:val="24"/>
          <w:szCs w:val="24"/>
        </w:rPr>
        <w:tab/>
        <w:t>ATIII</w:t>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t>83 - 128%</w:t>
      </w:r>
    </w:p>
    <w:p w:rsidR="00256215" w:rsidRPr="00256215" w:rsidRDefault="00256215" w:rsidP="00256215">
      <w:pPr>
        <w:spacing w:after="0" w:line="240" w:lineRule="auto"/>
        <w:rPr>
          <w:rFonts w:eastAsia="Times New Roman" w:cs="Times New Roman"/>
          <w:sz w:val="24"/>
          <w:szCs w:val="24"/>
        </w:rPr>
      </w:pPr>
      <w:r w:rsidRPr="00256215">
        <w:rPr>
          <w:rFonts w:eastAsia="Times New Roman" w:cs="Times New Roman"/>
          <w:sz w:val="24"/>
          <w:szCs w:val="24"/>
        </w:rPr>
        <w:tab/>
      </w:r>
      <w:r w:rsidRPr="00256215">
        <w:rPr>
          <w:rFonts w:eastAsia="Times New Roman" w:cs="Times New Roman"/>
          <w:sz w:val="24"/>
          <w:szCs w:val="24"/>
        </w:rPr>
        <w:tab/>
        <w:t>D-Dimer for DIC</w:t>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t>&lt;244 ng/mL</w:t>
      </w:r>
    </w:p>
    <w:p w:rsidR="00256215" w:rsidRPr="00256215" w:rsidRDefault="00256215" w:rsidP="00256215">
      <w:pPr>
        <w:spacing w:after="0" w:line="240" w:lineRule="auto"/>
        <w:rPr>
          <w:rFonts w:eastAsia="Times New Roman" w:cs="Times New Roman"/>
          <w:sz w:val="24"/>
          <w:szCs w:val="24"/>
        </w:rPr>
      </w:pPr>
      <w:r w:rsidRPr="00256215">
        <w:rPr>
          <w:rFonts w:eastAsia="Times New Roman" w:cs="Times New Roman"/>
          <w:sz w:val="24"/>
          <w:szCs w:val="24"/>
        </w:rPr>
        <w:tab/>
      </w:r>
      <w:r w:rsidRPr="00256215">
        <w:rPr>
          <w:rFonts w:eastAsia="Times New Roman" w:cs="Times New Roman"/>
          <w:sz w:val="24"/>
          <w:szCs w:val="24"/>
        </w:rPr>
        <w:tab/>
        <w:t>Factor VIII Activity</w:t>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t>50 - 150%</w:t>
      </w:r>
    </w:p>
    <w:p w:rsidR="00256215" w:rsidRPr="00256215" w:rsidRDefault="00256215" w:rsidP="00256215">
      <w:pPr>
        <w:spacing w:after="0" w:line="240" w:lineRule="auto"/>
        <w:rPr>
          <w:rFonts w:eastAsia="Times New Roman" w:cs="Times New Roman"/>
          <w:sz w:val="24"/>
          <w:szCs w:val="24"/>
        </w:rPr>
      </w:pPr>
      <w:r w:rsidRPr="00256215">
        <w:rPr>
          <w:rFonts w:eastAsia="Times New Roman" w:cs="Times New Roman"/>
          <w:sz w:val="24"/>
          <w:szCs w:val="24"/>
        </w:rPr>
        <w:tab/>
      </w:r>
      <w:r w:rsidRPr="00256215">
        <w:rPr>
          <w:rFonts w:eastAsia="Times New Roman" w:cs="Times New Roman"/>
          <w:sz w:val="24"/>
          <w:szCs w:val="24"/>
        </w:rPr>
        <w:tab/>
        <w:t>Von Willebrand Factor Antigen</w:t>
      </w:r>
      <w:r w:rsidRPr="00256215">
        <w:rPr>
          <w:rFonts w:eastAsia="Times New Roman" w:cs="Times New Roman"/>
          <w:sz w:val="24"/>
          <w:szCs w:val="24"/>
        </w:rPr>
        <w:tab/>
        <w:t>66 - 176%</w:t>
      </w:r>
    </w:p>
    <w:p w:rsidR="00256215" w:rsidRPr="00256215" w:rsidRDefault="00256215" w:rsidP="00256215">
      <w:pPr>
        <w:spacing w:after="0" w:line="240" w:lineRule="auto"/>
        <w:rPr>
          <w:rFonts w:eastAsia="Times New Roman" w:cs="Times New Roman"/>
          <w:sz w:val="24"/>
          <w:szCs w:val="24"/>
        </w:rPr>
      </w:pPr>
      <w:r w:rsidRPr="00256215">
        <w:rPr>
          <w:rFonts w:eastAsia="Times New Roman" w:cs="Times New Roman"/>
          <w:sz w:val="24"/>
          <w:szCs w:val="24"/>
        </w:rPr>
        <w:tab/>
      </w:r>
      <w:r w:rsidRPr="00256215">
        <w:rPr>
          <w:rFonts w:eastAsia="Times New Roman" w:cs="Times New Roman"/>
          <w:sz w:val="24"/>
          <w:szCs w:val="24"/>
        </w:rPr>
        <w:tab/>
        <w:t xml:space="preserve">Ristocetin Cofactor Assay </w:t>
      </w:r>
    </w:p>
    <w:p w:rsidR="00256215" w:rsidRPr="00256215" w:rsidRDefault="00256215" w:rsidP="00256215">
      <w:pPr>
        <w:spacing w:after="0" w:line="240" w:lineRule="auto"/>
        <w:rPr>
          <w:rFonts w:eastAsia="Times New Roman" w:cs="Times New Roman"/>
          <w:sz w:val="24"/>
          <w:szCs w:val="24"/>
        </w:rPr>
      </w:pP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t>&lt; 30% - consistent with von Willebrand Disease</w:t>
      </w:r>
    </w:p>
    <w:p w:rsidR="00256215" w:rsidRPr="00256215" w:rsidRDefault="00256215" w:rsidP="00256215">
      <w:pPr>
        <w:spacing w:after="0" w:line="240" w:lineRule="auto"/>
        <w:ind w:firstLine="720"/>
        <w:rPr>
          <w:rFonts w:eastAsia="Times New Roman" w:cs="Times New Roman"/>
          <w:sz w:val="24"/>
          <w:szCs w:val="24"/>
        </w:rPr>
      </w:pPr>
      <w:r w:rsidRPr="00256215">
        <w:rPr>
          <w:rFonts w:eastAsia="Times New Roman" w:cs="Times New Roman"/>
          <w:sz w:val="24"/>
          <w:szCs w:val="24"/>
        </w:rPr>
        <w:t>              </w:t>
      </w:r>
      <w:r w:rsidRPr="00256215">
        <w:rPr>
          <w:rFonts w:eastAsia="Times New Roman" w:cs="Times New Roman"/>
          <w:sz w:val="24"/>
          <w:szCs w:val="24"/>
        </w:rPr>
        <w:tab/>
        <w:t>30-50% - probable von Willebrand Disease, requires clinical correlation</w:t>
      </w:r>
    </w:p>
    <w:p w:rsidR="00256215" w:rsidRPr="00256215" w:rsidRDefault="00256215" w:rsidP="00256215">
      <w:pPr>
        <w:spacing w:after="0" w:line="240" w:lineRule="auto"/>
        <w:rPr>
          <w:rFonts w:eastAsia="Times New Roman" w:cs="Times New Roman"/>
          <w:sz w:val="24"/>
          <w:szCs w:val="24"/>
        </w:rPr>
      </w:pP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t xml:space="preserve">&gt; 50% - von Willebrand Disease unlikely, if strong clinical suspicion retest </w:t>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t>at another time</w:t>
      </w:r>
    </w:p>
    <w:p w:rsidR="00256215" w:rsidRPr="00256215" w:rsidRDefault="00256215" w:rsidP="00256215">
      <w:pPr>
        <w:spacing w:after="0" w:line="240" w:lineRule="auto"/>
        <w:rPr>
          <w:rFonts w:eastAsia="Times New Roman" w:cs="Times New Roman"/>
          <w:sz w:val="24"/>
          <w:szCs w:val="24"/>
        </w:rPr>
      </w:pPr>
      <w:r w:rsidRPr="00256215">
        <w:rPr>
          <w:rFonts w:eastAsia="Times New Roman" w:cs="Times New Roman"/>
          <w:sz w:val="24"/>
          <w:szCs w:val="24"/>
        </w:rPr>
        <w:t>              </w:t>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t xml:space="preserve"> </w:t>
      </w:r>
    </w:p>
    <w:p w:rsidR="00256215" w:rsidRPr="00256215" w:rsidRDefault="00256215" w:rsidP="00256215">
      <w:pPr>
        <w:spacing w:after="0" w:line="240" w:lineRule="auto"/>
        <w:rPr>
          <w:rFonts w:eastAsia="Times New Roman" w:cs="Times New Roman"/>
          <w:sz w:val="24"/>
          <w:szCs w:val="24"/>
        </w:rPr>
      </w:pPr>
    </w:p>
    <w:p w:rsidR="00256215" w:rsidRPr="00256215" w:rsidRDefault="00256215" w:rsidP="00256215">
      <w:pPr>
        <w:spacing w:after="0" w:line="240" w:lineRule="auto"/>
        <w:jc w:val="center"/>
        <w:rPr>
          <w:rFonts w:eastAsia="Times New Roman" w:cs="Times New Roman"/>
          <w:b/>
          <w:sz w:val="24"/>
          <w:szCs w:val="24"/>
        </w:rPr>
      </w:pPr>
      <w:r w:rsidRPr="00256215">
        <w:rPr>
          <w:rFonts w:eastAsia="Times New Roman" w:cs="Times New Roman"/>
          <w:b/>
          <w:sz w:val="24"/>
          <w:szCs w:val="24"/>
        </w:rPr>
        <w:t xml:space="preserve">von Willebrand Factor Activity </w:t>
      </w:r>
    </w:p>
    <w:p w:rsidR="00256215" w:rsidRPr="00256215" w:rsidRDefault="00256215" w:rsidP="00256215">
      <w:pPr>
        <w:spacing w:after="0" w:line="240" w:lineRule="auto"/>
        <w:jc w:val="center"/>
        <w:rPr>
          <w:rFonts w:eastAsia="Times New Roman" w:cs="Times New Roman"/>
          <w:b/>
          <w:sz w:val="24"/>
          <w:szCs w:val="24"/>
          <w:u w:val="single"/>
        </w:rPr>
      </w:pPr>
    </w:p>
    <w:p w:rsidR="00256215" w:rsidRPr="00256215" w:rsidRDefault="00256215" w:rsidP="00256215">
      <w:pPr>
        <w:spacing w:after="0" w:line="240" w:lineRule="auto"/>
        <w:rPr>
          <w:rFonts w:eastAsia="Times New Roman" w:cs="Times New Roman"/>
          <w:sz w:val="24"/>
          <w:szCs w:val="24"/>
        </w:rPr>
      </w:pPr>
      <w:r w:rsidRPr="00256215">
        <w:rPr>
          <w:rFonts w:eastAsia="Times New Roman" w:cs="Times New Roman"/>
          <w:sz w:val="24"/>
          <w:szCs w:val="24"/>
        </w:rPr>
        <w:t>The accurate diagnosis of von Willebrand Disease (VWD) requires a number of tests.  The measurement and comparison of von Willebrand Factor Antigen (VWF:Ag), VWF Activity and the Factor VIII (FAVIII) levels in plasma aid in the differentiation of quantitative defects (Type 1 or 3) or qualitative defect (Type 2).</w:t>
      </w:r>
    </w:p>
    <w:p w:rsidR="00256215" w:rsidRPr="00256215" w:rsidRDefault="00256215" w:rsidP="00256215">
      <w:pPr>
        <w:spacing w:after="0" w:line="240" w:lineRule="auto"/>
        <w:rPr>
          <w:rFonts w:eastAsia="Times New Roman" w:cs="Times New Roman"/>
          <w:sz w:val="24"/>
          <w:szCs w:val="24"/>
        </w:rPr>
      </w:pPr>
    </w:p>
    <w:p w:rsidR="00256215" w:rsidRPr="00256215" w:rsidRDefault="00256215" w:rsidP="00256215">
      <w:pPr>
        <w:spacing w:after="0" w:line="240" w:lineRule="auto"/>
        <w:rPr>
          <w:rFonts w:eastAsia="Times New Roman" w:cs="Times New Roman"/>
          <w:sz w:val="24"/>
          <w:szCs w:val="24"/>
        </w:rPr>
      </w:pPr>
      <w:r w:rsidRPr="00256215">
        <w:rPr>
          <w:rFonts w:eastAsia="Times New Roman" w:cs="Times New Roman"/>
          <w:sz w:val="24"/>
          <w:szCs w:val="24"/>
        </w:rPr>
        <w:t>The Special Coagulation Laboratory has validated a new automated assay to measure VWF Activity.  All patient results that are less than 50 % (&lt;50%) by this method will be confirmed by the Ristocetin Co</w:t>
      </w:r>
      <w:r w:rsidR="009705D5">
        <w:rPr>
          <w:rFonts w:eastAsia="Times New Roman" w:cs="Times New Roman"/>
          <w:sz w:val="24"/>
          <w:szCs w:val="24"/>
        </w:rPr>
        <w:t>f</w:t>
      </w:r>
      <w:r w:rsidRPr="00256215">
        <w:rPr>
          <w:rFonts w:eastAsia="Times New Roman" w:cs="Times New Roman"/>
          <w:sz w:val="24"/>
          <w:szCs w:val="24"/>
        </w:rPr>
        <w:t xml:space="preserve">actor assay.    The new reference ranges associated with both of these assays are listed above. </w:t>
      </w:r>
    </w:p>
    <w:p w:rsidR="00256215" w:rsidRPr="00256215" w:rsidRDefault="00256215" w:rsidP="00256215">
      <w:pPr>
        <w:spacing w:after="0" w:line="240" w:lineRule="auto"/>
        <w:rPr>
          <w:rFonts w:eastAsia="Times New Roman" w:cs="Times New Roman"/>
          <w:sz w:val="24"/>
          <w:szCs w:val="24"/>
        </w:rPr>
      </w:pPr>
      <w:r w:rsidRPr="00256215">
        <w:rPr>
          <w:rFonts w:eastAsia="Times New Roman" w:cs="Times New Roman"/>
          <w:sz w:val="24"/>
          <w:szCs w:val="24"/>
        </w:rPr>
        <w:t>              </w:t>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r>
      <w:r w:rsidRPr="00256215">
        <w:rPr>
          <w:rFonts w:eastAsia="Times New Roman" w:cs="Times New Roman"/>
          <w:sz w:val="24"/>
          <w:szCs w:val="24"/>
        </w:rPr>
        <w:tab/>
        <w:t xml:space="preserve"> </w:t>
      </w:r>
    </w:p>
    <w:p w:rsidR="00256215" w:rsidRPr="00256215" w:rsidRDefault="00256215" w:rsidP="00256215">
      <w:pPr>
        <w:spacing w:after="0" w:line="240" w:lineRule="auto"/>
        <w:rPr>
          <w:rFonts w:eastAsia="Times New Roman" w:cs="Times New Roman"/>
          <w:b/>
          <w:sz w:val="24"/>
          <w:szCs w:val="24"/>
          <w:u w:val="single"/>
        </w:rPr>
      </w:pPr>
      <w:r w:rsidRPr="00256215">
        <w:rPr>
          <w:rFonts w:eastAsia="Times New Roman" w:cs="Times New Roman"/>
          <w:sz w:val="24"/>
          <w:szCs w:val="24"/>
        </w:rPr>
        <w:tab/>
      </w:r>
      <w:r w:rsidRPr="00256215">
        <w:rPr>
          <w:rFonts w:eastAsia="Times New Roman" w:cs="Times New Roman"/>
          <w:sz w:val="24"/>
          <w:szCs w:val="24"/>
        </w:rPr>
        <w:tab/>
      </w:r>
    </w:p>
    <w:p w:rsidR="00256215" w:rsidRPr="00256215" w:rsidRDefault="00256215">
      <w:pPr>
        <w:rPr>
          <w:b/>
          <w:sz w:val="24"/>
          <w:szCs w:val="24"/>
        </w:rPr>
      </w:pPr>
      <w:r w:rsidRPr="00256215">
        <w:rPr>
          <w:b/>
          <w:sz w:val="24"/>
          <w:szCs w:val="24"/>
        </w:rPr>
        <w:br w:type="page"/>
      </w:r>
    </w:p>
    <w:p w:rsidR="00256215" w:rsidRPr="00256215" w:rsidRDefault="00256215" w:rsidP="00256215">
      <w:pPr>
        <w:spacing w:line="240" w:lineRule="auto"/>
        <w:jc w:val="center"/>
        <w:rPr>
          <w:b/>
          <w:sz w:val="24"/>
          <w:szCs w:val="24"/>
        </w:rPr>
      </w:pPr>
      <w:r w:rsidRPr="00256215">
        <w:rPr>
          <w:b/>
          <w:sz w:val="24"/>
          <w:szCs w:val="24"/>
        </w:rPr>
        <w:lastRenderedPageBreak/>
        <w:t>Chromogenic Protein C Assay</w:t>
      </w:r>
    </w:p>
    <w:p w:rsidR="00256215" w:rsidRPr="00256215" w:rsidRDefault="00256215" w:rsidP="009705D5">
      <w:pPr>
        <w:spacing w:line="240" w:lineRule="auto"/>
        <w:rPr>
          <w:sz w:val="24"/>
          <w:szCs w:val="24"/>
        </w:rPr>
      </w:pPr>
      <w:r w:rsidRPr="00256215">
        <w:rPr>
          <w:sz w:val="24"/>
          <w:szCs w:val="24"/>
        </w:rPr>
        <w:t xml:space="preserve">Protein C is a vitamin K-dependent protein.  When activated, Protein C exhibits an anticoagulant effect through the inhibition of factors Va and VIIIa in the presence of calcium ions, phospholipids and its cofactor, Protein S.  </w:t>
      </w:r>
    </w:p>
    <w:p w:rsidR="00256215" w:rsidRPr="00256215" w:rsidRDefault="00256215" w:rsidP="009705D5">
      <w:pPr>
        <w:spacing w:line="240" w:lineRule="auto"/>
        <w:rPr>
          <w:sz w:val="24"/>
          <w:szCs w:val="24"/>
        </w:rPr>
      </w:pPr>
      <w:r w:rsidRPr="00256215">
        <w:rPr>
          <w:sz w:val="24"/>
          <w:szCs w:val="24"/>
        </w:rPr>
        <w:t>Deficiency of Protein C is associated with recurrent venous thrombosis and pulmonary embolism, especially in young adults.  Acquired deficiencies of Protein C are associated with hepatic disorders, oral anticoagulants and Disseminated Intravascular Coagulation (DIC).</w:t>
      </w:r>
    </w:p>
    <w:p w:rsidR="00256215" w:rsidRPr="00256215" w:rsidRDefault="00256215" w:rsidP="009705D5">
      <w:pPr>
        <w:spacing w:line="240" w:lineRule="auto"/>
        <w:rPr>
          <w:sz w:val="24"/>
          <w:szCs w:val="24"/>
        </w:rPr>
      </w:pPr>
      <w:r w:rsidRPr="00256215">
        <w:rPr>
          <w:sz w:val="24"/>
          <w:szCs w:val="24"/>
        </w:rPr>
        <w:t xml:space="preserve">The Special Coagulation Laboratory has validated a new chromogenic assay to measure Protein C in plasma.  The chromogenic assay has less interference with new oral anticoagulant therapies than earlier versions of the test  </w:t>
      </w:r>
    </w:p>
    <w:p w:rsidR="00256215" w:rsidRPr="00256215" w:rsidRDefault="00256215" w:rsidP="009705D5">
      <w:pPr>
        <w:spacing w:line="240" w:lineRule="auto"/>
        <w:rPr>
          <w:sz w:val="24"/>
          <w:szCs w:val="24"/>
        </w:rPr>
      </w:pPr>
      <w:r w:rsidRPr="00256215">
        <w:rPr>
          <w:sz w:val="24"/>
          <w:szCs w:val="24"/>
        </w:rPr>
        <w:t>Pathology approval (pic 1383) is necessary to perform the assay if the patient’s INR is &gt;1.3.</w:t>
      </w:r>
    </w:p>
    <w:p w:rsidR="00256215" w:rsidRPr="00256215" w:rsidRDefault="00256215" w:rsidP="00256215">
      <w:pPr>
        <w:spacing w:line="240" w:lineRule="auto"/>
        <w:jc w:val="center"/>
        <w:rPr>
          <w:sz w:val="24"/>
          <w:szCs w:val="24"/>
        </w:rPr>
      </w:pPr>
    </w:p>
    <w:p w:rsidR="00256215" w:rsidRPr="00256215" w:rsidRDefault="00256215" w:rsidP="00256215">
      <w:pPr>
        <w:spacing w:line="240" w:lineRule="auto"/>
        <w:jc w:val="center"/>
        <w:rPr>
          <w:sz w:val="24"/>
          <w:szCs w:val="24"/>
        </w:rPr>
      </w:pPr>
      <w:r w:rsidRPr="00256215">
        <w:rPr>
          <w:b/>
          <w:sz w:val="24"/>
          <w:szCs w:val="24"/>
        </w:rPr>
        <w:t>New Platform for Rheumatoid Factor Testing</w:t>
      </w:r>
    </w:p>
    <w:p w:rsidR="00256215" w:rsidRPr="00256215" w:rsidRDefault="00256215" w:rsidP="00256215">
      <w:pPr>
        <w:spacing w:line="240" w:lineRule="auto"/>
        <w:rPr>
          <w:sz w:val="24"/>
          <w:szCs w:val="24"/>
        </w:rPr>
      </w:pPr>
      <w:r w:rsidRPr="00256215">
        <w:rPr>
          <w:sz w:val="24"/>
          <w:szCs w:val="24"/>
        </w:rPr>
        <w:t>Effective July 13, 2015, the method for Rheumatoid Factor (RF) measurement changed from the Beckman-Coulter Immage 800 assay to the Binding Site SPA Plus assay.  The upper limit of the reference interval for the new assay is 20 IU/mL.</w:t>
      </w:r>
    </w:p>
    <w:p w:rsidR="00256215" w:rsidRPr="00256215" w:rsidRDefault="00256215" w:rsidP="00256215">
      <w:pPr>
        <w:spacing w:line="240" w:lineRule="auto"/>
        <w:rPr>
          <w:sz w:val="24"/>
          <w:szCs w:val="24"/>
        </w:rPr>
      </w:pPr>
    </w:p>
    <w:p w:rsidR="00256215" w:rsidRPr="00256215" w:rsidRDefault="00256215" w:rsidP="00256215">
      <w:pPr>
        <w:spacing w:line="240" w:lineRule="auto"/>
        <w:jc w:val="center"/>
        <w:rPr>
          <w:b/>
          <w:sz w:val="24"/>
          <w:szCs w:val="24"/>
        </w:rPr>
      </w:pPr>
      <w:bookmarkStart w:id="0" w:name="_GoBack"/>
      <w:r w:rsidRPr="00256215">
        <w:rPr>
          <w:b/>
          <w:sz w:val="24"/>
          <w:szCs w:val="24"/>
        </w:rPr>
        <w:t>B-type Natriuretic Peptide (BNP) Testing – Medicare Rules</w:t>
      </w:r>
    </w:p>
    <w:bookmarkEnd w:id="0"/>
    <w:p w:rsidR="00256215" w:rsidRPr="00256215" w:rsidRDefault="00256215" w:rsidP="00256215">
      <w:pPr>
        <w:spacing w:line="240" w:lineRule="auto"/>
        <w:rPr>
          <w:sz w:val="24"/>
          <w:szCs w:val="24"/>
        </w:rPr>
      </w:pPr>
      <w:r w:rsidRPr="00256215">
        <w:rPr>
          <w:sz w:val="24"/>
          <w:szCs w:val="24"/>
        </w:rPr>
        <w:t>B-type natriuretic peptide (BNP) is a cardiac neuro-hormone produced mainly in the left ventricle. It is secreted in response to ventricular volume expansion and pressure overload, factors found in congestive heart failure (CHF). Used in conjunction with other clinical information, rapid measurement of BNP is useful in establishing or excluding the diagnosis and assessing the severity of CHF in patients with acute dyspnea. It can also be used to predict the long-term risk of cardiac events.</w:t>
      </w:r>
    </w:p>
    <w:p w:rsidR="00256215" w:rsidRPr="00256215" w:rsidRDefault="00256215" w:rsidP="00256215">
      <w:pPr>
        <w:spacing w:after="0" w:line="240" w:lineRule="auto"/>
        <w:rPr>
          <w:sz w:val="24"/>
          <w:szCs w:val="24"/>
        </w:rPr>
      </w:pPr>
      <w:r w:rsidRPr="00256215">
        <w:rPr>
          <w:sz w:val="24"/>
          <w:szCs w:val="24"/>
        </w:rPr>
        <w:t>BNP measurements may be considered reasonable and necessary when used in combination with other medical data such as history, physical exam, laboratory studies, x-ray, and electrocardiography:</w:t>
      </w:r>
    </w:p>
    <w:p w:rsidR="00256215" w:rsidRPr="00256215" w:rsidRDefault="00256215" w:rsidP="00256215">
      <w:pPr>
        <w:pStyle w:val="ListParagraph"/>
        <w:numPr>
          <w:ilvl w:val="0"/>
          <w:numId w:val="1"/>
        </w:numPr>
        <w:spacing w:line="240" w:lineRule="auto"/>
        <w:rPr>
          <w:sz w:val="24"/>
          <w:szCs w:val="24"/>
        </w:rPr>
      </w:pPr>
      <w:r w:rsidRPr="00256215">
        <w:rPr>
          <w:sz w:val="24"/>
          <w:szCs w:val="24"/>
        </w:rPr>
        <w:t>Distinguish cardiac causes of acute dyspnea from pulmonary or other non-cardiac causes</w:t>
      </w:r>
    </w:p>
    <w:p w:rsidR="00256215" w:rsidRPr="00256215" w:rsidRDefault="00256215" w:rsidP="00256215">
      <w:pPr>
        <w:pStyle w:val="ListParagraph"/>
        <w:numPr>
          <w:ilvl w:val="0"/>
          <w:numId w:val="1"/>
        </w:numPr>
        <w:spacing w:line="240" w:lineRule="auto"/>
        <w:rPr>
          <w:sz w:val="24"/>
          <w:szCs w:val="24"/>
        </w:rPr>
      </w:pPr>
      <w:r w:rsidRPr="00256215">
        <w:rPr>
          <w:sz w:val="24"/>
          <w:szCs w:val="24"/>
        </w:rPr>
        <w:t>Distinguish decompensated CHF from exacerbated chronic obstructive pulmonary disease (COPD)</w:t>
      </w:r>
    </w:p>
    <w:p w:rsidR="00256215" w:rsidRPr="00256215" w:rsidRDefault="00256215" w:rsidP="00256215">
      <w:pPr>
        <w:pStyle w:val="ListParagraph"/>
        <w:numPr>
          <w:ilvl w:val="0"/>
          <w:numId w:val="1"/>
        </w:numPr>
        <w:spacing w:line="240" w:lineRule="auto"/>
        <w:rPr>
          <w:sz w:val="24"/>
          <w:szCs w:val="24"/>
        </w:rPr>
      </w:pPr>
      <w:r w:rsidRPr="00256215">
        <w:rPr>
          <w:sz w:val="24"/>
          <w:szCs w:val="24"/>
        </w:rPr>
        <w:t>As a risk stratification tool (to assess risk of death, myocardial infarction, or congestive heart failure) among patients with acute coronary syndrome.</w:t>
      </w:r>
    </w:p>
    <w:p w:rsidR="00256215" w:rsidRPr="00256215" w:rsidRDefault="00256215" w:rsidP="00256215">
      <w:pPr>
        <w:spacing w:line="240" w:lineRule="auto"/>
        <w:rPr>
          <w:sz w:val="24"/>
          <w:szCs w:val="24"/>
        </w:rPr>
      </w:pPr>
      <w:r w:rsidRPr="00256215">
        <w:rPr>
          <w:sz w:val="24"/>
          <w:szCs w:val="24"/>
        </w:rPr>
        <w:t xml:space="preserve">It should be analyzed in conjunction with standard diagnostic tests, medical history, and clinical findings. Certain conditions such as ischemia, infarction, and renal insufficiency may cause </w:t>
      </w:r>
      <w:r w:rsidRPr="00256215">
        <w:rPr>
          <w:sz w:val="24"/>
          <w:szCs w:val="24"/>
        </w:rPr>
        <w:lastRenderedPageBreak/>
        <w:t xml:space="preserve">elevation of circulating BNP concentration and requires alterations of the interpretation of BNP results. </w:t>
      </w:r>
    </w:p>
    <w:p w:rsidR="00256215" w:rsidRPr="00256215" w:rsidRDefault="00256215" w:rsidP="00256215">
      <w:pPr>
        <w:spacing w:line="240" w:lineRule="auto"/>
        <w:rPr>
          <w:sz w:val="24"/>
          <w:szCs w:val="24"/>
        </w:rPr>
      </w:pPr>
      <w:r w:rsidRPr="00256215">
        <w:rPr>
          <w:sz w:val="24"/>
          <w:szCs w:val="24"/>
        </w:rPr>
        <w:t xml:space="preserve">Medicare will only pay for testing that is deemed medically necessary. When submitting this type of testing on your patients </w:t>
      </w:r>
      <w:r w:rsidRPr="00256215">
        <w:rPr>
          <w:sz w:val="24"/>
          <w:szCs w:val="24"/>
          <w:u w:val="single"/>
        </w:rPr>
        <w:t>please</w:t>
      </w:r>
      <w:r w:rsidRPr="00256215">
        <w:rPr>
          <w:sz w:val="24"/>
          <w:szCs w:val="24"/>
        </w:rPr>
        <w:t xml:space="preserve"> be sure to submit the appropriate diagnosis codes to support the test you are requesting. Examples of appropriate codes might be 428.0, 428.32, 428.9, 786.00, 786.05, 786.09. The most common </w:t>
      </w:r>
      <w:r w:rsidRPr="00256215">
        <w:rPr>
          <w:sz w:val="24"/>
          <w:szCs w:val="24"/>
          <w:u w:val="single"/>
        </w:rPr>
        <w:t>non-covered</w:t>
      </w:r>
      <w:r w:rsidRPr="00256215">
        <w:rPr>
          <w:sz w:val="24"/>
          <w:szCs w:val="24"/>
        </w:rPr>
        <w:t xml:space="preserve"> code submitted is for edema.  If these or other codes are not applicable, please discuss with your patient and have them sign the Advanced Beneficiary Notice (ABN) for billing purposes. </w:t>
      </w:r>
    </w:p>
    <w:p w:rsidR="00256215" w:rsidRPr="00256215" w:rsidRDefault="00256215" w:rsidP="00256215">
      <w:pPr>
        <w:spacing w:line="240" w:lineRule="auto"/>
        <w:rPr>
          <w:sz w:val="24"/>
          <w:szCs w:val="24"/>
        </w:rPr>
      </w:pPr>
    </w:p>
    <w:p w:rsidR="00256215" w:rsidRPr="00256215" w:rsidRDefault="00256215" w:rsidP="00256215">
      <w:pPr>
        <w:spacing w:line="240" w:lineRule="auto"/>
        <w:rPr>
          <w:sz w:val="24"/>
          <w:szCs w:val="24"/>
        </w:rPr>
      </w:pPr>
    </w:p>
    <w:sectPr w:rsidR="00256215" w:rsidRPr="00256215">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7118" w:rsidRDefault="00187118" w:rsidP="0025669F">
      <w:pPr>
        <w:spacing w:after="0" w:line="240" w:lineRule="auto"/>
      </w:pPr>
      <w:r>
        <w:separator/>
      </w:r>
    </w:p>
  </w:endnote>
  <w:endnote w:type="continuationSeparator" w:id="0">
    <w:p w:rsidR="00187118" w:rsidRDefault="00187118" w:rsidP="002566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0992721"/>
      <w:docPartObj>
        <w:docPartGallery w:val="Page Numbers (Bottom of Page)"/>
        <w:docPartUnique/>
      </w:docPartObj>
    </w:sdtPr>
    <w:sdtEndPr/>
    <w:sdtContent>
      <w:sdt>
        <w:sdtPr>
          <w:id w:val="98381352"/>
          <w:docPartObj>
            <w:docPartGallery w:val="Page Numbers (Top of Page)"/>
            <w:docPartUnique/>
          </w:docPartObj>
        </w:sdtPr>
        <w:sdtEndPr/>
        <w:sdtContent>
          <w:p w:rsidR="0025669F" w:rsidRPr="0025669F" w:rsidRDefault="0025669F" w:rsidP="0025669F">
            <w:pPr>
              <w:pStyle w:val="Footer"/>
              <w:jc w:val="center"/>
            </w:pPr>
            <w:r w:rsidRPr="0025669F">
              <w:t xml:space="preserve">Page </w:t>
            </w:r>
            <w:r w:rsidRPr="0025669F">
              <w:rPr>
                <w:bCs/>
                <w:sz w:val="24"/>
                <w:szCs w:val="24"/>
              </w:rPr>
              <w:fldChar w:fldCharType="begin"/>
            </w:r>
            <w:r w:rsidRPr="0025669F">
              <w:rPr>
                <w:bCs/>
              </w:rPr>
              <w:instrText xml:space="preserve"> PAGE </w:instrText>
            </w:r>
            <w:r w:rsidRPr="0025669F">
              <w:rPr>
                <w:bCs/>
                <w:sz w:val="24"/>
                <w:szCs w:val="24"/>
              </w:rPr>
              <w:fldChar w:fldCharType="separate"/>
            </w:r>
            <w:r w:rsidR="00867578">
              <w:rPr>
                <w:bCs/>
                <w:noProof/>
              </w:rPr>
              <w:t>3</w:t>
            </w:r>
            <w:r w:rsidRPr="0025669F">
              <w:rPr>
                <w:bCs/>
                <w:sz w:val="24"/>
                <w:szCs w:val="24"/>
              </w:rPr>
              <w:fldChar w:fldCharType="end"/>
            </w:r>
            <w:r w:rsidRPr="0025669F">
              <w:t xml:space="preserve"> of </w:t>
            </w:r>
            <w:r w:rsidRPr="0025669F">
              <w:rPr>
                <w:bCs/>
                <w:sz w:val="24"/>
                <w:szCs w:val="24"/>
              </w:rPr>
              <w:fldChar w:fldCharType="begin"/>
            </w:r>
            <w:r w:rsidRPr="0025669F">
              <w:rPr>
                <w:bCs/>
              </w:rPr>
              <w:instrText xml:space="preserve"> NUMPAGES  </w:instrText>
            </w:r>
            <w:r w:rsidRPr="0025669F">
              <w:rPr>
                <w:bCs/>
                <w:sz w:val="24"/>
                <w:szCs w:val="24"/>
              </w:rPr>
              <w:fldChar w:fldCharType="separate"/>
            </w:r>
            <w:r w:rsidR="00867578">
              <w:rPr>
                <w:bCs/>
                <w:noProof/>
              </w:rPr>
              <w:t>3</w:t>
            </w:r>
            <w:r w:rsidRPr="0025669F">
              <w:rPr>
                <w:bCs/>
                <w:sz w:val="24"/>
                <w:szCs w:val="24"/>
              </w:rPr>
              <w:fldChar w:fldCharType="end"/>
            </w:r>
          </w:p>
        </w:sdtContent>
      </w:sdt>
    </w:sdtContent>
  </w:sdt>
  <w:p w:rsidR="0025669F" w:rsidRDefault="0025669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7118" w:rsidRDefault="00187118" w:rsidP="0025669F">
      <w:pPr>
        <w:spacing w:after="0" w:line="240" w:lineRule="auto"/>
      </w:pPr>
      <w:r>
        <w:separator/>
      </w:r>
    </w:p>
  </w:footnote>
  <w:footnote w:type="continuationSeparator" w:id="0">
    <w:p w:rsidR="00187118" w:rsidRDefault="00187118" w:rsidP="0025669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C97E72"/>
    <w:multiLevelType w:val="hybridMultilevel"/>
    <w:tmpl w:val="459A98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6215"/>
    <w:rsid w:val="00187118"/>
    <w:rsid w:val="00256215"/>
    <w:rsid w:val="0025669F"/>
    <w:rsid w:val="00701CCC"/>
    <w:rsid w:val="00867578"/>
    <w:rsid w:val="00915C2F"/>
    <w:rsid w:val="009705D5"/>
    <w:rsid w:val="00A769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621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99"/>
    <w:qFormat/>
    <w:rsid w:val="00256215"/>
    <w:pPr>
      <w:spacing w:after="0" w:line="240" w:lineRule="auto"/>
    </w:pPr>
    <w:rPr>
      <w:rFonts w:ascii="Times New Roman" w:eastAsia="MS Mincho" w:hAnsi="Times New Roman" w:cs="Times New Roman"/>
      <w:sz w:val="24"/>
      <w:szCs w:val="24"/>
      <w:lang w:eastAsia="ja-JP"/>
    </w:rPr>
  </w:style>
  <w:style w:type="paragraph" w:styleId="ListParagraph">
    <w:name w:val="List Paragraph"/>
    <w:basedOn w:val="Normal"/>
    <w:uiPriority w:val="34"/>
    <w:qFormat/>
    <w:rsid w:val="00256215"/>
    <w:pPr>
      <w:ind w:left="720"/>
      <w:contextualSpacing/>
    </w:pPr>
  </w:style>
  <w:style w:type="paragraph" w:styleId="BalloonText">
    <w:name w:val="Balloon Text"/>
    <w:basedOn w:val="Normal"/>
    <w:link w:val="BalloonTextChar"/>
    <w:uiPriority w:val="99"/>
    <w:semiHidden/>
    <w:unhideWhenUsed/>
    <w:rsid w:val="0025669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669F"/>
    <w:rPr>
      <w:rFonts w:ascii="Tahoma" w:hAnsi="Tahoma" w:cs="Tahoma"/>
      <w:sz w:val="16"/>
      <w:szCs w:val="16"/>
    </w:rPr>
  </w:style>
  <w:style w:type="paragraph" w:styleId="Header">
    <w:name w:val="header"/>
    <w:basedOn w:val="Normal"/>
    <w:link w:val="HeaderChar"/>
    <w:uiPriority w:val="99"/>
    <w:unhideWhenUsed/>
    <w:rsid w:val="0025669F"/>
    <w:pPr>
      <w:tabs>
        <w:tab w:val="center" w:pos="4680"/>
        <w:tab w:val="right" w:pos="9360"/>
      </w:tabs>
      <w:spacing w:after="0" w:line="240" w:lineRule="auto"/>
    </w:pPr>
  </w:style>
  <w:style w:type="character" w:customStyle="1" w:styleId="HeaderChar">
    <w:name w:val="Header Char"/>
    <w:basedOn w:val="DefaultParagraphFont"/>
    <w:link w:val="Header"/>
    <w:uiPriority w:val="99"/>
    <w:rsid w:val="0025669F"/>
  </w:style>
  <w:style w:type="paragraph" w:styleId="Footer">
    <w:name w:val="footer"/>
    <w:basedOn w:val="Normal"/>
    <w:link w:val="FooterChar"/>
    <w:uiPriority w:val="99"/>
    <w:unhideWhenUsed/>
    <w:rsid w:val="0025669F"/>
    <w:pPr>
      <w:tabs>
        <w:tab w:val="center" w:pos="4680"/>
        <w:tab w:val="right" w:pos="9360"/>
      </w:tabs>
      <w:spacing w:after="0" w:line="240" w:lineRule="auto"/>
    </w:pPr>
  </w:style>
  <w:style w:type="character" w:customStyle="1" w:styleId="FooterChar">
    <w:name w:val="Footer Char"/>
    <w:basedOn w:val="DefaultParagraphFont"/>
    <w:link w:val="Footer"/>
    <w:uiPriority w:val="99"/>
    <w:rsid w:val="002566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621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99"/>
    <w:qFormat/>
    <w:rsid w:val="00256215"/>
    <w:pPr>
      <w:spacing w:after="0" w:line="240" w:lineRule="auto"/>
    </w:pPr>
    <w:rPr>
      <w:rFonts w:ascii="Times New Roman" w:eastAsia="MS Mincho" w:hAnsi="Times New Roman" w:cs="Times New Roman"/>
      <w:sz w:val="24"/>
      <w:szCs w:val="24"/>
      <w:lang w:eastAsia="ja-JP"/>
    </w:rPr>
  </w:style>
  <w:style w:type="paragraph" w:styleId="ListParagraph">
    <w:name w:val="List Paragraph"/>
    <w:basedOn w:val="Normal"/>
    <w:uiPriority w:val="34"/>
    <w:qFormat/>
    <w:rsid w:val="00256215"/>
    <w:pPr>
      <w:ind w:left="720"/>
      <w:contextualSpacing/>
    </w:pPr>
  </w:style>
  <w:style w:type="paragraph" w:styleId="BalloonText">
    <w:name w:val="Balloon Text"/>
    <w:basedOn w:val="Normal"/>
    <w:link w:val="BalloonTextChar"/>
    <w:uiPriority w:val="99"/>
    <w:semiHidden/>
    <w:unhideWhenUsed/>
    <w:rsid w:val="0025669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669F"/>
    <w:rPr>
      <w:rFonts w:ascii="Tahoma" w:hAnsi="Tahoma" w:cs="Tahoma"/>
      <w:sz w:val="16"/>
      <w:szCs w:val="16"/>
    </w:rPr>
  </w:style>
  <w:style w:type="paragraph" w:styleId="Header">
    <w:name w:val="header"/>
    <w:basedOn w:val="Normal"/>
    <w:link w:val="HeaderChar"/>
    <w:uiPriority w:val="99"/>
    <w:unhideWhenUsed/>
    <w:rsid w:val="0025669F"/>
    <w:pPr>
      <w:tabs>
        <w:tab w:val="center" w:pos="4680"/>
        <w:tab w:val="right" w:pos="9360"/>
      </w:tabs>
      <w:spacing w:after="0" w:line="240" w:lineRule="auto"/>
    </w:pPr>
  </w:style>
  <w:style w:type="character" w:customStyle="1" w:styleId="HeaderChar">
    <w:name w:val="Header Char"/>
    <w:basedOn w:val="DefaultParagraphFont"/>
    <w:link w:val="Header"/>
    <w:uiPriority w:val="99"/>
    <w:rsid w:val="0025669F"/>
  </w:style>
  <w:style w:type="paragraph" w:styleId="Footer">
    <w:name w:val="footer"/>
    <w:basedOn w:val="Normal"/>
    <w:link w:val="FooterChar"/>
    <w:uiPriority w:val="99"/>
    <w:unhideWhenUsed/>
    <w:rsid w:val="0025669F"/>
    <w:pPr>
      <w:tabs>
        <w:tab w:val="center" w:pos="4680"/>
        <w:tab w:val="right" w:pos="9360"/>
      </w:tabs>
      <w:spacing w:after="0" w:line="240" w:lineRule="auto"/>
    </w:pPr>
  </w:style>
  <w:style w:type="character" w:customStyle="1" w:styleId="FooterChar">
    <w:name w:val="Footer Char"/>
    <w:basedOn w:val="DefaultParagraphFont"/>
    <w:link w:val="Footer"/>
    <w:uiPriority w:val="99"/>
    <w:rsid w:val="002566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694</Words>
  <Characters>3958</Characters>
  <Application>Microsoft Office Word</Application>
  <DocSecurity>4</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4643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dmh2t</dc:creator>
  <cp:lastModifiedBy>Pannell, Christy W *HS</cp:lastModifiedBy>
  <cp:revision>2</cp:revision>
  <cp:lastPrinted>2015-07-24T18:40:00Z</cp:lastPrinted>
  <dcterms:created xsi:type="dcterms:W3CDTF">2015-08-03T20:09:00Z</dcterms:created>
  <dcterms:modified xsi:type="dcterms:W3CDTF">2015-08-03T20:09:00Z</dcterms:modified>
</cp:coreProperties>
</file>