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50CB" w:rsidRPr="00FD08E0" w:rsidRDefault="009E50CB" w:rsidP="009E50CB">
      <w:pPr>
        <w:pStyle w:val="NoSpacing"/>
        <w:jc w:val="center"/>
        <w:outlineLvl w:val="0"/>
        <w:rPr>
          <w:rFonts w:asciiTheme="minorHAnsi" w:hAnsiTheme="minorHAnsi"/>
          <w:sz w:val="28"/>
          <w:szCs w:val="28"/>
        </w:rPr>
      </w:pPr>
      <w:bookmarkStart w:id="0" w:name="_GoBack"/>
      <w:bookmarkEnd w:id="0"/>
      <w:r w:rsidRPr="008226DB">
        <w:rPr>
          <w:rFonts w:asciiTheme="minorHAnsi" w:hAnsiTheme="minorHAnsi"/>
          <w:sz w:val="28"/>
          <w:szCs w:val="28"/>
        </w:rPr>
        <w:t>University of Virginia Health System</w:t>
      </w:r>
    </w:p>
    <w:p w:rsidR="009E50CB" w:rsidRPr="00FD08E0" w:rsidRDefault="009E50CB" w:rsidP="009E50CB">
      <w:pPr>
        <w:pStyle w:val="NoSpacing"/>
        <w:jc w:val="center"/>
        <w:outlineLvl w:val="0"/>
        <w:rPr>
          <w:rFonts w:asciiTheme="minorHAnsi" w:hAnsiTheme="minorHAnsi"/>
          <w:b/>
          <w:snapToGrid w:val="0"/>
          <w:sz w:val="28"/>
          <w:szCs w:val="28"/>
        </w:rPr>
      </w:pPr>
      <w:r w:rsidRPr="008226DB">
        <w:rPr>
          <w:rFonts w:asciiTheme="minorHAnsi" w:hAnsiTheme="minorHAnsi"/>
          <w:b/>
          <w:snapToGrid w:val="0"/>
          <w:sz w:val="28"/>
          <w:szCs w:val="28"/>
        </w:rPr>
        <w:t>Medical Laboratories</w:t>
      </w:r>
    </w:p>
    <w:p w:rsidR="009E50CB" w:rsidRPr="00FD08E0" w:rsidRDefault="009E50CB" w:rsidP="009E50CB">
      <w:pPr>
        <w:pStyle w:val="NoSpacing"/>
        <w:jc w:val="center"/>
        <w:outlineLvl w:val="0"/>
        <w:rPr>
          <w:rFonts w:asciiTheme="minorHAnsi" w:hAnsiTheme="minorHAnsi"/>
          <w:b/>
          <w:i/>
          <w:snapToGrid w:val="0"/>
          <w:sz w:val="28"/>
          <w:szCs w:val="28"/>
        </w:rPr>
      </w:pPr>
      <w:r w:rsidRPr="008226DB">
        <w:rPr>
          <w:rFonts w:asciiTheme="minorHAnsi" w:hAnsiTheme="minorHAnsi"/>
          <w:b/>
          <w:i/>
          <w:snapToGrid w:val="0"/>
          <w:sz w:val="28"/>
          <w:szCs w:val="28"/>
        </w:rPr>
        <w:t>“Quality You Expect, Service You Deserve”</w:t>
      </w:r>
    </w:p>
    <w:p w:rsidR="009E50CB" w:rsidRPr="00FD08E0" w:rsidRDefault="009E50CB" w:rsidP="009E50CB">
      <w:pPr>
        <w:pStyle w:val="NoSpacing"/>
        <w:jc w:val="center"/>
        <w:rPr>
          <w:rFonts w:asciiTheme="minorHAnsi" w:hAnsiTheme="minorHAnsi"/>
          <w:b/>
          <w:i/>
          <w:snapToGrid w:val="0"/>
        </w:rPr>
      </w:pPr>
    </w:p>
    <w:p w:rsidR="009E50CB" w:rsidRDefault="009E50CB" w:rsidP="009E50CB">
      <w:pPr>
        <w:keepNext/>
        <w:widowControl w:val="0"/>
        <w:jc w:val="center"/>
        <w:outlineLvl w:val="0"/>
        <w:rPr>
          <w:rFonts w:asciiTheme="minorHAnsi" w:hAnsiTheme="minorHAnsi"/>
          <w:b/>
          <w:i/>
          <w:snapToGrid w:val="0"/>
          <w:sz w:val="28"/>
          <w:szCs w:val="28"/>
          <w:u w:val="single"/>
        </w:rPr>
      </w:pPr>
      <w:r w:rsidRPr="008226DB">
        <w:rPr>
          <w:rFonts w:asciiTheme="minorHAnsi" w:hAnsiTheme="minorHAnsi"/>
          <w:b/>
          <w:i/>
          <w:snapToGrid w:val="0"/>
          <w:sz w:val="28"/>
          <w:szCs w:val="28"/>
          <w:u w:val="single"/>
        </w:rPr>
        <w:t>LABORATORY MEDICINE UPDATE</w:t>
      </w:r>
    </w:p>
    <w:p w:rsidR="009E50CB" w:rsidRPr="00FD08E0" w:rsidRDefault="009E50CB" w:rsidP="009E50CB">
      <w:pPr>
        <w:keepNext/>
        <w:widowControl w:val="0"/>
        <w:jc w:val="center"/>
        <w:outlineLvl w:val="0"/>
        <w:rPr>
          <w:rFonts w:asciiTheme="minorHAnsi" w:hAnsiTheme="minorHAnsi"/>
          <w:b/>
          <w:i/>
          <w:snapToGrid w:val="0"/>
          <w:sz w:val="28"/>
          <w:szCs w:val="28"/>
          <w:u w:val="single"/>
        </w:rPr>
      </w:pPr>
    </w:p>
    <w:p w:rsidR="009E50CB" w:rsidRDefault="00AF1654" w:rsidP="009E50CB">
      <w:pPr>
        <w:jc w:val="center"/>
        <w:rPr>
          <w:rFonts w:asciiTheme="minorHAnsi" w:hAnsiTheme="minorHAnsi"/>
          <w:snapToGrid w:val="0"/>
          <w:sz w:val="28"/>
          <w:szCs w:val="28"/>
          <w:u w:val="single"/>
        </w:rPr>
      </w:pPr>
      <w:r>
        <w:rPr>
          <w:rFonts w:asciiTheme="minorHAnsi" w:hAnsiTheme="minorHAnsi"/>
          <w:snapToGrid w:val="0"/>
          <w:sz w:val="28"/>
          <w:szCs w:val="28"/>
          <w:u w:val="single"/>
        </w:rPr>
        <w:t>May</w:t>
      </w:r>
      <w:r w:rsidR="009E50CB">
        <w:rPr>
          <w:rFonts w:asciiTheme="minorHAnsi" w:hAnsiTheme="minorHAnsi"/>
          <w:snapToGrid w:val="0"/>
          <w:sz w:val="28"/>
          <w:szCs w:val="28"/>
          <w:u w:val="single"/>
        </w:rPr>
        <w:t xml:space="preserve"> 2</w:t>
      </w:r>
      <w:r>
        <w:rPr>
          <w:rFonts w:asciiTheme="minorHAnsi" w:hAnsiTheme="minorHAnsi"/>
          <w:snapToGrid w:val="0"/>
          <w:sz w:val="28"/>
          <w:szCs w:val="28"/>
          <w:u w:val="single"/>
        </w:rPr>
        <w:t>1</w:t>
      </w:r>
      <w:r w:rsidR="009E50CB">
        <w:rPr>
          <w:rFonts w:asciiTheme="minorHAnsi" w:hAnsiTheme="minorHAnsi"/>
          <w:snapToGrid w:val="0"/>
          <w:sz w:val="28"/>
          <w:szCs w:val="28"/>
          <w:u w:val="single"/>
        </w:rPr>
        <w:t>, 2014</w:t>
      </w:r>
    </w:p>
    <w:p w:rsidR="009E50CB" w:rsidRDefault="009E50CB" w:rsidP="009E50CB">
      <w:pPr>
        <w:jc w:val="center"/>
        <w:rPr>
          <w:rFonts w:asciiTheme="minorHAnsi" w:hAnsiTheme="minorHAnsi"/>
          <w:b/>
        </w:rPr>
      </w:pPr>
    </w:p>
    <w:p w:rsidR="00AF1654" w:rsidRPr="00F85210" w:rsidRDefault="00AF1654" w:rsidP="00F85210">
      <w:pPr>
        <w:jc w:val="center"/>
        <w:outlineLvl w:val="0"/>
        <w:rPr>
          <w:rFonts w:asciiTheme="minorHAnsi" w:hAnsiTheme="minorHAnsi"/>
          <w:b/>
          <w:sz w:val="23"/>
          <w:szCs w:val="23"/>
        </w:rPr>
      </w:pPr>
      <w:r w:rsidRPr="00F85210">
        <w:rPr>
          <w:rFonts w:asciiTheme="minorHAnsi" w:hAnsiTheme="minorHAnsi"/>
          <w:b/>
          <w:sz w:val="23"/>
          <w:szCs w:val="23"/>
        </w:rPr>
        <w:t xml:space="preserve">HPV Genotype Detection by Roche </w:t>
      </w:r>
      <w:proofErr w:type="spellStart"/>
      <w:r w:rsidRPr="00F85210">
        <w:rPr>
          <w:rFonts w:asciiTheme="minorHAnsi" w:hAnsiTheme="minorHAnsi"/>
          <w:b/>
          <w:sz w:val="23"/>
          <w:szCs w:val="23"/>
        </w:rPr>
        <w:t>cobas</w:t>
      </w:r>
      <w:proofErr w:type="spellEnd"/>
      <w:r w:rsidRPr="00F85210">
        <w:rPr>
          <w:rFonts w:asciiTheme="minorHAnsi" w:hAnsiTheme="minorHAnsi"/>
          <w:b/>
          <w:sz w:val="23"/>
          <w:szCs w:val="23"/>
        </w:rPr>
        <w:t xml:space="preserve"> 4800 Test</w:t>
      </w:r>
    </w:p>
    <w:p w:rsidR="00AF1654" w:rsidRPr="00F85210" w:rsidRDefault="00AF1654" w:rsidP="00AF1654">
      <w:pPr>
        <w:jc w:val="both"/>
        <w:rPr>
          <w:rFonts w:asciiTheme="minorHAnsi" w:hAnsiTheme="minorHAnsi"/>
          <w:sz w:val="23"/>
          <w:szCs w:val="23"/>
        </w:rPr>
      </w:pPr>
    </w:p>
    <w:p w:rsidR="00AF1654" w:rsidRPr="00F85210" w:rsidRDefault="00AF1654" w:rsidP="00F85210">
      <w:pPr>
        <w:rPr>
          <w:rFonts w:asciiTheme="minorHAnsi" w:hAnsiTheme="minorHAnsi"/>
          <w:color w:val="000000"/>
          <w:sz w:val="23"/>
          <w:szCs w:val="23"/>
        </w:rPr>
      </w:pPr>
      <w:r w:rsidRPr="00F85210">
        <w:rPr>
          <w:rFonts w:asciiTheme="minorHAnsi" w:hAnsiTheme="minorHAnsi"/>
          <w:sz w:val="23"/>
          <w:szCs w:val="23"/>
        </w:rPr>
        <w:t xml:space="preserve">On May 26, 2014, the Clinical Microbiology and Molecular Diagnostics Laboratory will implement a new method for HPV detection, which includes information on High Risk HPV Genotypes (HR HPV).  </w:t>
      </w:r>
      <w:r w:rsidRPr="00F85210">
        <w:rPr>
          <w:rFonts w:asciiTheme="minorHAnsi" w:hAnsiTheme="minorHAnsi"/>
          <w:color w:val="000000"/>
          <w:sz w:val="23"/>
          <w:szCs w:val="23"/>
        </w:rPr>
        <w:t xml:space="preserve">The Roche </w:t>
      </w:r>
      <w:proofErr w:type="spellStart"/>
      <w:r w:rsidRPr="00F85210">
        <w:rPr>
          <w:rFonts w:asciiTheme="minorHAnsi" w:hAnsiTheme="minorHAnsi"/>
          <w:color w:val="000000"/>
          <w:sz w:val="23"/>
          <w:szCs w:val="23"/>
        </w:rPr>
        <w:t>cobas</w:t>
      </w:r>
      <w:proofErr w:type="spellEnd"/>
      <w:r w:rsidRPr="00F85210">
        <w:rPr>
          <w:rFonts w:asciiTheme="minorHAnsi" w:hAnsiTheme="minorHAnsi"/>
          <w:color w:val="000000"/>
          <w:sz w:val="23"/>
          <w:szCs w:val="23"/>
        </w:rPr>
        <w:t xml:space="preserve"> 4800 HPV test provides clinicians with a result that differentiates HPV 16 and HPV 18 from 12 other HR HPV types (</w:t>
      </w:r>
      <w:r w:rsidRPr="00F85210">
        <w:rPr>
          <w:rFonts w:asciiTheme="minorHAnsi" w:eastAsia="MS Mincho" w:hAnsiTheme="minorHAnsi"/>
          <w:sz w:val="23"/>
          <w:szCs w:val="23"/>
          <w:lang w:eastAsia="ja-JP"/>
        </w:rPr>
        <w:t>31, 33, 35, 39, 45, 51, 52, 56, 58, 59, 66, and 68</w:t>
      </w:r>
      <w:r w:rsidRPr="00F85210">
        <w:rPr>
          <w:rFonts w:asciiTheme="minorHAnsi" w:hAnsiTheme="minorHAnsi"/>
          <w:color w:val="000000"/>
          <w:sz w:val="23"/>
          <w:szCs w:val="23"/>
        </w:rPr>
        <w:t xml:space="preserve">), all of which are reported as positive for HR HPV, not HPV 16 or HPV 18.  There will be no additional charge for genotype information.   </w:t>
      </w:r>
      <w:r w:rsidRPr="00F85210">
        <w:rPr>
          <w:rFonts w:asciiTheme="minorHAnsi" w:hAnsiTheme="minorHAnsi"/>
          <w:sz w:val="23"/>
          <w:szCs w:val="23"/>
        </w:rPr>
        <w:t>ThinPrep cervical sample in PreservCyt (10 mL) continues to be the specimen of choice.</w:t>
      </w:r>
      <w:r w:rsidRPr="00F85210">
        <w:rPr>
          <w:rFonts w:asciiTheme="minorHAnsi" w:hAnsiTheme="minorHAnsi"/>
          <w:color w:val="000000"/>
          <w:sz w:val="23"/>
          <w:szCs w:val="23"/>
        </w:rPr>
        <w:t xml:space="preserve">  Turnaround times are expected to decrease, as this testing will be performed 2-3 times per week.</w:t>
      </w:r>
    </w:p>
    <w:p w:rsidR="00AF1654" w:rsidRPr="00F85210" w:rsidRDefault="00AF1654" w:rsidP="00F85210">
      <w:pPr>
        <w:rPr>
          <w:rFonts w:asciiTheme="minorHAnsi" w:hAnsiTheme="minorHAnsi"/>
          <w:color w:val="000000"/>
          <w:sz w:val="23"/>
          <w:szCs w:val="23"/>
        </w:rPr>
      </w:pPr>
    </w:p>
    <w:p w:rsidR="00AF1654" w:rsidRPr="00F85210" w:rsidRDefault="00AF1654" w:rsidP="00F85210">
      <w:pPr>
        <w:rPr>
          <w:rFonts w:asciiTheme="minorHAnsi" w:hAnsiTheme="minorHAnsi"/>
          <w:color w:val="000000"/>
          <w:sz w:val="23"/>
          <w:szCs w:val="23"/>
        </w:rPr>
      </w:pPr>
      <w:r w:rsidRPr="00F85210">
        <w:rPr>
          <w:rFonts w:asciiTheme="minorHAnsi" w:hAnsiTheme="minorHAnsi"/>
          <w:color w:val="000000"/>
          <w:sz w:val="23"/>
          <w:szCs w:val="23"/>
        </w:rPr>
        <w:t xml:space="preserve">The Roche </w:t>
      </w:r>
      <w:proofErr w:type="spellStart"/>
      <w:r w:rsidRPr="00F85210">
        <w:rPr>
          <w:rFonts w:asciiTheme="minorHAnsi" w:hAnsiTheme="minorHAnsi"/>
          <w:color w:val="000000"/>
          <w:sz w:val="23"/>
          <w:szCs w:val="23"/>
        </w:rPr>
        <w:t>cobas</w:t>
      </w:r>
      <w:proofErr w:type="spellEnd"/>
      <w:r w:rsidRPr="00F85210">
        <w:rPr>
          <w:rFonts w:asciiTheme="minorHAnsi" w:hAnsiTheme="minorHAnsi"/>
          <w:color w:val="000000"/>
          <w:sz w:val="23"/>
          <w:szCs w:val="23"/>
        </w:rPr>
        <w:t xml:space="preserve"> 4800 HPV test received FDA approval for primary screening in patients 25 years and older.  Therefore, clinicians will now be able to select from the following testing options in Epic or the Cytology GYN PAP smear (gynecologic specimen) requisition (please do not use clinical requisitions):</w:t>
      </w:r>
    </w:p>
    <w:p w:rsidR="00AF1654" w:rsidRPr="00F85210" w:rsidRDefault="00AF1654" w:rsidP="00F85210">
      <w:pPr>
        <w:pStyle w:val="ListParagraph"/>
        <w:numPr>
          <w:ilvl w:val="0"/>
          <w:numId w:val="2"/>
        </w:numPr>
        <w:rPr>
          <w:rFonts w:asciiTheme="minorHAnsi" w:hAnsiTheme="minorHAnsi"/>
          <w:color w:val="000000"/>
          <w:sz w:val="23"/>
          <w:szCs w:val="23"/>
        </w:rPr>
      </w:pPr>
      <w:r w:rsidRPr="00F85210">
        <w:rPr>
          <w:rFonts w:asciiTheme="minorHAnsi" w:hAnsiTheme="minorHAnsi"/>
          <w:color w:val="000000"/>
          <w:sz w:val="23"/>
          <w:szCs w:val="23"/>
        </w:rPr>
        <w:t>HPV primary screening test</w:t>
      </w:r>
    </w:p>
    <w:p w:rsidR="00AF1654" w:rsidRPr="00F85210" w:rsidRDefault="00AF1654" w:rsidP="00F85210">
      <w:pPr>
        <w:pStyle w:val="ListParagraph"/>
        <w:numPr>
          <w:ilvl w:val="0"/>
          <w:numId w:val="2"/>
        </w:numPr>
        <w:rPr>
          <w:rFonts w:asciiTheme="minorHAnsi" w:hAnsiTheme="minorHAnsi"/>
          <w:color w:val="000000"/>
          <w:sz w:val="23"/>
          <w:szCs w:val="23"/>
        </w:rPr>
      </w:pPr>
      <w:r w:rsidRPr="00F85210">
        <w:rPr>
          <w:rFonts w:asciiTheme="minorHAnsi" w:hAnsiTheme="minorHAnsi"/>
          <w:color w:val="000000"/>
          <w:sz w:val="23"/>
          <w:szCs w:val="23"/>
        </w:rPr>
        <w:t xml:space="preserve">HPV </w:t>
      </w:r>
      <w:proofErr w:type="spellStart"/>
      <w:r w:rsidRPr="00F85210">
        <w:rPr>
          <w:rFonts w:asciiTheme="minorHAnsi" w:hAnsiTheme="minorHAnsi"/>
          <w:color w:val="000000"/>
          <w:sz w:val="23"/>
          <w:szCs w:val="23"/>
        </w:rPr>
        <w:t>co</w:t>
      </w:r>
      <w:proofErr w:type="spellEnd"/>
      <w:r w:rsidRPr="00F85210">
        <w:rPr>
          <w:rFonts w:asciiTheme="minorHAnsi" w:hAnsiTheme="minorHAnsi"/>
          <w:color w:val="000000"/>
          <w:sz w:val="23"/>
          <w:szCs w:val="23"/>
        </w:rPr>
        <w:t>-testing with Cytology</w:t>
      </w:r>
    </w:p>
    <w:p w:rsidR="00AF1654" w:rsidRPr="00F85210" w:rsidRDefault="00AF1654" w:rsidP="00F85210">
      <w:pPr>
        <w:pStyle w:val="ListParagraph"/>
        <w:numPr>
          <w:ilvl w:val="0"/>
          <w:numId w:val="2"/>
        </w:numPr>
        <w:rPr>
          <w:rFonts w:asciiTheme="minorHAnsi" w:hAnsiTheme="minorHAnsi"/>
          <w:color w:val="000000"/>
          <w:sz w:val="23"/>
          <w:szCs w:val="23"/>
        </w:rPr>
      </w:pPr>
      <w:r w:rsidRPr="00F85210">
        <w:rPr>
          <w:rFonts w:asciiTheme="minorHAnsi" w:hAnsiTheme="minorHAnsi"/>
          <w:color w:val="000000"/>
          <w:sz w:val="23"/>
          <w:szCs w:val="23"/>
        </w:rPr>
        <w:t>HPV reflex testing upon abnormal Cytology</w:t>
      </w:r>
    </w:p>
    <w:p w:rsidR="00AF1654" w:rsidRPr="00F85210" w:rsidRDefault="00AF1654" w:rsidP="00F85210">
      <w:pPr>
        <w:pStyle w:val="ListParagraph"/>
        <w:numPr>
          <w:ilvl w:val="0"/>
          <w:numId w:val="2"/>
        </w:numPr>
        <w:rPr>
          <w:rFonts w:asciiTheme="minorHAnsi" w:hAnsiTheme="minorHAnsi"/>
          <w:color w:val="000000"/>
          <w:sz w:val="23"/>
          <w:szCs w:val="23"/>
        </w:rPr>
      </w:pPr>
      <w:r w:rsidRPr="00F85210">
        <w:rPr>
          <w:rFonts w:asciiTheme="minorHAnsi" w:hAnsiTheme="minorHAnsi"/>
          <w:color w:val="000000"/>
          <w:sz w:val="23"/>
          <w:szCs w:val="23"/>
        </w:rPr>
        <w:t>PAP test alone (no HPV testing performed)</w:t>
      </w:r>
    </w:p>
    <w:p w:rsidR="00AF1654" w:rsidRPr="00F85210" w:rsidRDefault="00AF1654" w:rsidP="00F85210">
      <w:pPr>
        <w:rPr>
          <w:rFonts w:asciiTheme="minorHAnsi" w:hAnsiTheme="minorHAnsi"/>
          <w:color w:val="000000"/>
          <w:sz w:val="23"/>
          <w:szCs w:val="23"/>
        </w:rPr>
      </w:pPr>
    </w:p>
    <w:p w:rsidR="00AF1654" w:rsidRPr="00F85210" w:rsidRDefault="00AF1654" w:rsidP="00F85210">
      <w:pPr>
        <w:rPr>
          <w:rFonts w:asciiTheme="minorHAnsi" w:hAnsiTheme="minorHAnsi"/>
          <w:color w:val="000000"/>
          <w:sz w:val="23"/>
          <w:szCs w:val="23"/>
        </w:rPr>
      </w:pPr>
      <w:r w:rsidRPr="00F85210">
        <w:rPr>
          <w:rFonts w:asciiTheme="minorHAnsi" w:hAnsiTheme="minorHAnsi"/>
          <w:color w:val="000000"/>
          <w:sz w:val="23"/>
          <w:szCs w:val="23"/>
        </w:rPr>
        <w:t xml:space="preserve">If </w:t>
      </w:r>
      <w:r w:rsidRPr="00F85210">
        <w:rPr>
          <w:rFonts w:asciiTheme="minorHAnsi" w:hAnsiTheme="minorHAnsi"/>
          <w:b/>
          <w:color w:val="000000"/>
          <w:sz w:val="23"/>
          <w:szCs w:val="23"/>
        </w:rPr>
        <w:t>HPV</w:t>
      </w:r>
      <w:r w:rsidRPr="00F85210">
        <w:rPr>
          <w:rFonts w:asciiTheme="minorHAnsi" w:hAnsiTheme="minorHAnsi"/>
          <w:color w:val="000000"/>
          <w:sz w:val="23"/>
          <w:szCs w:val="23"/>
        </w:rPr>
        <w:t xml:space="preserve"> </w:t>
      </w:r>
      <w:r w:rsidRPr="00F85210">
        <w:rPr>
          <w:rFonts w:asciiTheme="minorHAnsi" w:hAnsiTheme="minorHAnsi"/>
          <w:b/>
          <w:color w:val="000000"/>
          <w:sz w:val="23"/>
          <w:szCs w:val="23"/>
        </w:rPr>
        <w:t>PRIMARY SCREENING TEST is selected</w:t>
      </w:r>
      <w:r w:rsidRPr="00F85210">
        <w:rPr>
          <w:rFonts w:asciiTheme="minorHAnsi" w:hAnsiTheme="minorHAnsi"/>
          <w:color w:val="000000"/>
          <w:sz w:val="23"/>
          <w:szCs w:val="23"/>
        </w:rPr>
        <w:t>, the following algorithm will be used:</w:t>
      </w:r>
    </w:p>
    <w:p w:rsidR="00AF1654" w:rsidRPr="00F85210" w:rsidRDefault="00AF1654" w:rsidP="00F85210">
      <w:pPr>
        <w:pStyle w:val="ListParagraph"/>
        <w:numPr>
          <w:ilvl w:val="0"/>
          <w:numId w:val="2"/>
        </w:numPr>
        <w:rPr>
          <w:rFonts w:asciiTheme="minorHAnsi" w:hAnsiTheme="minorHAnsi"/>
          <w:color w:val="000000"/>
          <w:sz w:val="23"/>
          <w:szCs w:val="23"/>
        </w:rPr>
      </w:pPr>
      <w:r w:rsidRPr="00F85210">
        <w:rPr>
          <w:rFonts w:asciiTheme="minorHAnsi" w:hAnsiTheme="minorHAnsi"/>
          <w:b/>
          <w:color w:val="000000"/>
          <w:sz w:val="23"/>
          <w:szCs w:val="23"/>
        </w:rPr>
        <w:t>If POSITIVE for HPV 16 or HPV 18</w:t>
      </w:r>
      <w:r w:rsidRPr="00F85210">
        <w:rPr>
          <w:rFonts w:asciiTheme="minorHAnsi" w:hAnsiTheme="minorHAnsi"/>
          <w:color w:val="000000"/>
          <w:sz w:val="23"/>
          <w:szCs w:val="23"/>
        </w:rPr>
        <w:t>: No further testing will be performed.  Per the ASCCP guidelines,</w:t>
      </w:r>
      <w:r w:rsidRPr="00F85210">
        <w:rPr>
          <w:rFonts w:asciiTheme="minorHAnsi" w:hAnsiTheme="minorHAnsi" w:cs="Calibri"/>
          <w:sz w:val="23"/>
          <w:szCs w:val="23"/>
        </w:rPr>
        <w:t xml:space="preserve"> patients testing positive for HPV 16 and/or HPV 18 should be considered for immediate colposcopy, regardless of the concurrent cytology result.</w:t>
      </w:r>
    </w:p>
    <w:p w:rsidR="00AF1654" w:rsidRPr="00F85210" w:rsidRDefault="00AF1654" w:rsidP="00F85210">
      <w:pPr>
        <w:pStyle w:val="ListParagraph"/>
        <w:numPr>
          <w:ilvl w:val="0"/>
          <w:numId w:val="2"/>
        </w:numPr>
        <w:rPr>
          <w:rFonts w:asciiTheme="minorHAnsi" w:hAnsiTheme="minorHAnsi"/>
          <w:color w:val="000000"/>
          <w:sz w:val="23"/>
          <w:szCs w:val="23"/>
        </w:rPr>
      </w:pPr>
      <w:r w:rsidRPr="00F85210">
        <w:rPr>
          <w:rFonts w:asciiTheme="minorHAnsi" w:hAnsiTheme="minorHAnsi"/>
          <w:b/>
          <w:color w:val="000000"/>
          <w:sz w:val="23"/>
          <w:szCs w:val="23"/>
        </w:rPr>
        <w:t>If NEGATIVE for all HR HPV types</w:t>
      </w:r>
      <w:r w:rsidRPr="00F85210">
        <w:rPr>
          <w:rFonts w:asciiTheme="minorHAnsi" w:hAnsiTheme="minorHAnsi"/>
          <w:color w:val="000000"/>
          <w:sz w:val="23"/>
          <w:szCs w:val="23"/>
        </w:rPr>
        <w:t>: No further testing will be performed.  Patients testing negative for HR HPV types have a &lt;1% chance of HSIL lesion.</w:t>
      </w:r>
    </w:p>
    <w:p w:rsidR="00AF1654" w:rsidRPr="00F85210" w:rsidRDefault="00AF1654" w:rsidP="00F85210">
      <w:pPr>
        <w:pStyle w:val="ListParagraph"/>
        <w:numPr>
          <w:ilvl w:val="0"/>
          <w:numId w:val="2"/>
        </w:numPr>
        <w:rPr>
          <w:rFonts w:asciiTheme="minorHAnsi" w:hAnsiTheme="minorHAnsi"/>
          <w:color w:val="000000"/>
          <w:sz w:val="23"/>
          <w:szCs w:val="23"/>
        </w:rPr>
      </w:pPr>
      <w:r w:rsidRPr="00F85210">
        <w:rPr>
          <w:rFonts w:asciiTheme="minorHAnsi" w:hAnsiTheme="minorHAnsi"/>
          <w:b/>
          <w:color w:val="000000"/>
          <w:sz w:val="23"/>
          <w:szCs w:val="23"/>
        </w:rPr>
        <w:t xml:space="preserve">If HR HPV POS, </w:t>
      </w:r>
      <w:r w:rsidRPr="00F85210">
        <w:rPr>
          <w:rFonts w:asciiTheme="minorHAnsi" w:hAnsiTheme="minorHAnsi"/>
          <w:b/>
          <w:i/>
          <w:color w:val="000000"/>
          <w:sz w:val="23"/>
          <w:szCs w:val="23"/>
        </w:rPr>
        <w:t>NOT HPV 16 or HPV 18</w:t>
      </w:r>
      <w:r w:rsidRPr="00F85210">
        <w:rPr>
          <w:rFonts w:asciiTheme="minorHAnsi" w:hAnsiTheme="minorHAnsi"/>
          <w:color w:val="000000"/>
          <w:sz w:val="23"/>
          <w:szCs w:val="23"/>
        </w:rPr>
        <w:t xml:space="preserve">: Samples will be automatically reflexed for </w:t>
      </w:r>
      <w:proofErr w:type="gramStart"/>
      <w:r w:rsidRPr="00F85210">
        <w:rPr>
          <w:rFonts w:asciiTheme="minorHAnsi" w:hAnsiTheme="minorHAnsi"/>
          <w:color w:val="000000"/>
          <w:sz w:val="23"/>
          <w:szCs w:val="23"/>
        </w:rPr>
        <w:t>PAP</w:t>
      </w:r>
      <w:proofErr w:type="gramEnd"/>
      <w:r w:rsidRPr="00F85210">
        <w:rPr>
          <w:rFonts w:asciiTheme="minorHAnsi" w:hAnsiTheme="minorHAnsi"/>
          <w:color w:val="000000"/>
          <w:sz w:val="23"/>
          <w:szCs w:val="23"/>
        </w:rPr>
        <w:t xml:space="preserve"> smear.  Clinicians will not need to order reflex testing or request a separate </w:t>
      </w:r>
      <w:proofErr w:type="gramStart"/>
      <w:r w:rsidRPr="00F85210">
        <w:rPr>
          <w:rFonts w:asciiTheme="minorHAnsi" w:hAnsiTheme="minorHAnsi"/>
          <w:color w:val="000000"/>
          <w:sz w:val="23"/>
          <w:szCs w:val="23"/>
        </w:rPr>
        <w:t>PAP</w:t>
      </w:r>
      <w:proofErr w:type="gramEnd"/>
      <w:r w:rsidRPr="00F85210">
        <w:rPr>
          <w:rFonts w:asciiTheme="minorHAnsi" w:hAnsiTheme="minorHAnsi"/>
          <w:color w:val="000000"/>
          <w:sz w:val="23"/>
          <w:szCs w:val="23"/>
        </w:rPr>
        <w:t xml:space="preserve"> smear.  </w:t>
      </w:r>
      <w:r w:rsidRPr="00F85210">
        <w:rPr>
          <w:rFonts w:ascii="Calibri" w:hAnsi="Calibri" w:cs="Calibri"/>
          <w:sz w:val="23"/>
          <w:szCs w:val="23"/>
        </w:rPr>
        <w:t>Per ASCCP guidelines, patients positive for HPV types other than 16 and 18 should be considered for immediate colposcopy if concurrent cytology is abnormal at a threshold of ASCUS or above.</w:t>
      </w:r>
    </w:p>
    <w:p w:rsidR="00AF1654" w:rsidRPr="00F85210" w:rsidRDefault="00AF1654" w:rsidP="00F85210">
      <w:pPr>
        <w:rPr>
          <w:rFonts w:asciiTheme="minorHAnsi" w:hAnsiTheme="minorHAnsi"/>
          <w:color w:val="000000"/>
          <w:sz w:val="23"/>
          <w:szCs w:val="23"/>
        </w:rPr>
      </w:pPr>
    </w:p>
    <w:p w:rsidR="00AF1654" w:rsidRPr="00F85210" w:rsidRDefault="00AF1654" w:rsidP="00F85210">
      <w:pPr>
        <w:rPr>
          <w:rFonts w:asciiTheme="minorHAnsi" w:hAnsiTheme="minorHAnsi"/>
          <w:color w:val="000000"/>
          <w:sz w:val="23"/>
          <w:szCs w:val="23"/>
        </w:rPr>
      </w:pPr>
      <w:r w:rsidRPr="00F85210">
        <w:rPr>
          <w:rFonts w:asciiTheme="minorHAnsi" w:hAnsiTheme="minorHAnsi"/>
          <w:color w:val="000000"/>
          <w:sz w:val="23"/>
          <w:szCs w:val="23"/>
        </w:rPr>
        <w:t>Final results of HPV testing, regardless of the algorithm requested, will be available in “Cytology, GYN” under the “Pathology” tab in Epic.  HPV results will no longer be appended to PAP reports, but should be easily found in the same location in Epic as PAP reports.</w:t>
      </w:r>
    </w:p>
    <w:p w:rsidR="00AF1654" w:rsidRPr="00F85210" w:rsidRDefault="00AF1654" w:rsidP="00F85210">
      <w:pPr>
        <w:rPr>
          <w:rFonts w:asciiTheme="minorHAnsi" w:hAnsiTheme="minorHAnsi"/>
          <w:b/>
          <w:sz w:val="23"/>
          <w:szCs w:val="23"/>
        </w:rPr>
      </w:pPr>
    </w:p>
    <w:p w:rsidR="00AF1654" w:rsidRPr="00F85210" w:rsidRDefault="00AF1654" w:rsidP="00F85210">
      <w:pPr>
        <w:rPr>
          <w:rFonts w:asciiTheme="minorHAnsi" w:hAnsiTheme="minorHAnsi"/>
          <w:sz w:val="23"/>
          <w:szCs w:val="23"/>
        </w:rPr>
      </w:pPr>
      <w:r w:rsidRPr="00F85210">
        <w:rPr>
          <w:rFonts w:asciiTheme="minorHAnsi" w:hAnsiTheme="minorHAnsi"/>
          <w:sz w:val="23"/>
          <w:szCs w:val="23"/>
        </w:rPr>
        <w:t xml:space="preserve">Please contact the Clinical Microbiology Director, Dr. Melinda </w:t>
      </w:r>
      <w:proofErr w:type="spellStart"/>
      <w:r w:rsidRPr="00F85210">
        <w:rPr>
          <w:rFonts w:asciiTheme="minorHAnsi" w:hAnsiTheme="minorHAnsi"/>
          <w:sz w:val="23"/>
          <w:szCs w:val="23"/>
        </w:rPr>
        <w:t>Poulter</w:t>
      </w:r>
      <w:proofErr w:type="spellEnd"/>
      <w:r w:rsidRPr="00F85210">
        <w:rPr>
          <w:rFonts w:asciiTheme="minorHAnsi" w:hAnsiTheme="minorHAnsi"/>
          <w:sz w:val="23"/>
          <w:szCs w:val="23"/>
        </w:rPr>
        <w:t>, at PIC 3677 with questions.</w:t>
      </w:r>
    </w:p>
    <w:p w:rsidR="00AF1654" w:rsidRDefault="00AF1654" w:rsidP="00F85210">
      <w:pPr>
        <w:rPr>
          <w:rFonts w:asciiTheme="minorHAnsi" w:hAnsiTheme="minorHAnsi"/>
          <w:sz w:val="23"/>
          <w:szCs w:val="23"/>
        </w:rPr>
      </w:pPr>
      <w:r w:rsidRPr="00F85210">
        <w:rPr>
          <w:rFonts w:asciiTheme="minorHAnsi" w:hAnsiTheme="minorHAnsi"/>
          <w:sz w:val="23"/>
          <w:szCs w:val="23"/>
        </w:rPr>
        <w:t xml:space="preserve">Dr. Mark </w:t>
      </w:r>
      <w:proofErr w:type="spellStart"/>
      <w:r w:rsidRPr="00F85210">
        <w:rPr>
          <w:rFonts w:asciiTheme="minorHAnsi" w:hAnsiTheme="minorHAnsi"/>
          <w:sz w:val="23"/>
          <w:szCs w:val="23"/>
        </w:rPr>
        <w:t>Stoler</w:t>
      </w:r>
      <w:proofErr w:type="spellEnd"/>
      <w:r w:rsidRPr="00F85210">
        <w:rPr>
          <w:rFonts w:asciiTheme="minorHAnsi" w:hAnsiTheme="minorHAnsi"/>
          <w:sz w:val="23"/>
          <w:szCs w:val="23"/>
        </w:rPr>
        <w:t xml:space="preserve"> is available at PIC 4316 to discuss algorithmic or medical implementation questions.</w:t>
      </w:r>
    </w:p>
    <w:p w:rsidR="00DB53B3" w:rsidRPr="00DB53B3" w:rsidRDefault="00DB53B3" w:rsidP="00DB53B3">
      <w:pPr>
        <w:jc w:val="center"/>
        <w:rPr>
          <w:rFonts w:asciiTheme="minorHAnsi" w:hAnsiTheme="minorHAnsi"/>
          <w:b/>
          <w:sz w:val="23"/>
          <w:szCs w:val="23"/>
        </w:rPr>
      </w:pPr>
      <w:r w:rsidRPr="00DB53B3">
        <w:rPr>
          <w:rFonts w:asciiTheme="minorHAnsi" w:hAnsiTheme="minorHAnsi"/>
          <w:b/>
          <w:sz w:val="23"/>
          <w:szCs w:val="23"/>
        </w:rPr>
        <w:lastRenderedPageBreak/>
        <w:t>Component Specific IgE Peanut Allergy Testing</w:t>
      </w:r>
    </w:p>
    <w:p w:rsidR="00DB53B3" w:rsidRPr="00DB53B3" w:rsidRDefault="00DB53B3" w:rsidP="00DB53B3">
      <w:pPr>
        <w:rPr>
          <w:rFonts w:asciiTheme="minorHAnsi" w:hAnsiTheme="minorHAnsi"/>
          <w:b/>
          <w:sz w:val="23"/>
          <w:szCs w:val="23"/>
        </w:rPr>
      </w:pPr>
    </w:p>
    <w:p w:rsidR="00DB53B3" w:rsidRPr="00DB53B3" w:rsidRDefault="00DB53B3" w:rsidP="00380205">
      <w:pPr>
        <w:rPr>
          <w:rFonts w:asciiTheme="minorHAnsi" w:hAnsiTheme="minorHAnsi"/>
          <w:sz w:val="23"/>
          <w:szCs w:val="23"/>
        </w:rPr>
      </w:pPr>
      <w:r w:rsidRPr="00DB53B3">
        <w:rPr>
          <w:rFonts w:asciiTheme="minorHAnsi" w:hAnsiTheme="minorHAnsi"/>
          <w:sz w:val="23"/>
          <w:szCs w:val="23"/>
        </w:rPr>
        <w:t>The Medical Laboratory now offers testing to identify specific IgE to five individual peanut components, in addition to the peanut allergen whole protein, to better manage sensitized patients.   The currently available peanut allergen test should be requested in addition to a miscellaneous allergy test specifying:  peanut components.  The laboratory will test for:</w:t>
      </w:r>
    </w:p>
    <w:p w:rsidR="00DB53B3" w:rsidRPr="00DB53B3" w:rsidRDefault="00DB53B3" w:rsidP="00380205">
      <w:pPr>
        <w:pStyle w:val="ListParagraph"/>
        <w:numPr>
          <w:ilvl w:val="0"/>
          <w:numId w:val="3"/>
        </w:numPr>
        <w:spacing w:after="200"/>
        <w:contextualSpacing/>
        <w:rPr>
          <w:rFonts w:asciiTheme="minorHAnsi" w:hAnsiTheme="minorHAnsi"/>
          <w:sz w:val="23"/>
          <w:szCs w:val="23"/>
        </w:rPr>
      </w:pPr>
      <w:r w:rsidRPr="00DB53B3">
        <w:rPr>
          <w:rFonts w:asciiTheme="minorHAnsi" w:hAnsiTheme="minorHAnsi"/>
          <w:sz w:val="23"/>
          <w:szCs w:val="23"/>
        </w:rPr>
        <w:t>Ara h 8:  associated with the risk of mild, localized symptoms such as itching and tingling of the lips, mouth and throat but without skin symptoms, breathing difficulties, or tissue swelling.  May cross react with Birch pollen</w:t>
      </w:r>
    </w:p>
    <w:p w:rsidR="00DB53B3" w:rsidRDefault="00DB53B3" w:rsidP="00380205">
      <w:pPr>
        <w:pStyle w:val="ListParagraph"/>
        <w:numPr>
          <w:ilvl w:val="0"/>
          <w:numId w:val="3"/>
        </w:numPr>
        <w:spacing w:after="200"/>
        <w:contextualSpacing/>
        <w:rPr>
          <w:rFonts w:asciiTheme="minorHAnsi" w:hAnsiTheme="minorHAnsi"/>
          <w:sz w:val="23"/>
          <w:szCs w:val="23"/>
        </w:rPr>
      </w:pPr>
      <w:r w:rsidRPr="00DB53B3">
        <w:rPr>
          <w:rFonts w:asciiTheme="minorHAnsi" w:hAnsiTheme="minorHAnsi"/>
          <w:sz w:val="23"/>
          <w:szCs w:val="23"/>
        </w:rPr>
        <w:t>Ara h 9:  associated with localized and possibly more severe symptoms.  May cross react with Peach allergen</w:t>
      </w:r>
    </w:p>
    <w:p w:rsidR="00DB53B3" w:rsidRDefault="00DB53B3" w:rsidP="00380205">
      <w:pPr>
        <w:pStyle w:val="ListParagraph"/>
        <w:numPr>
          <w:ilvl w:val="0"/>
          <w:numId w:val="3"/>
        </w:numPr>
        <w:spacing w:after="200"/>
        <w:contextualSpacing/>
        <w:rPr>
          <w:rFonts w:asciiTheme="minorHAnsi" w:hAnsiTheme="minorHAnsi"/>
          <w:sz w:val="23"/>
          <w:szCs w:val="23"/>
        </w:rPr>
      </w:pPr>
      <w:r w:rsidRPr="00DB53B3">
        <w:rPr>
          <w:rFonts w:asciiTheme="minorHAnsi" w:hAnsiTheme="minorHAnsi"/>
          <w:sz w:val="23"/>
          <w:szCs w:val="23"/>
        </w:rPr>
        <w:t xml:space="preserve">Ara h 1, h 2, and h 3:  associated with the risk of more severe, systemic reactions with manifestations </w:t>
      </w:r>
      <w:r w:rsidR="005E03B7">
        <w:rPr>
          <w:rFonts w:asciiTheme="minorHAnsi" w:hAnsiTheme="minorHAnsi"/>
          <w:sz w:val="23"/>
          <w:szCs w:val="23"/>
        </w:rPr>
        <w:t>in</w:t>
      </w:r>
      <w:r w:rsidRPr="00DB53B3">
        <w:rPr>
          <w:rFonts w:asciiTheme="minorHAnsi" w:hAnsiTheme="minorHAnsi"/>
          <w:sz w:val="23"/>
          <w:szCs w:val="23"/>
        </w:rPr>
        <w:t xml:space="preserve"> the skin, gastrointestinal tract, upper or lower respiratory tract, or cerebrovascular system.  Ara h 2, in particular, has been identified as a marker of a clinical peanut allergy</w:t>
      </w:r>
    </w:p>
    <w:p w:rsidR="006C45F8" w:rsidRDefault="006C45F8" w:rsidP="006C45F8">
      <w:pPr>
        <w:spacing w:after="200" w:line="276" w:lineRule="auto"/>
        <w:contextualSpacing/>
        <w:jc w:val="center"/>
        <w:rPr>
          <w:rFonts w:asciiTheme="minorHAnsi" w:hAnsiTheme="minorHAnsi"/>
          <w:sz w:val="23"/>
          <w:szCs w:val="23"/>
        </w:rPr>
      </w:pPr>
    </w:p>
    <w:p w:rsidR="006C45F8" w:rsidRDefault="006C45F8" w:rsidP="006C45F8">
      <w:pPr>
        <w:spacing w:after="200" w:line="276" w:lineRule="auto"/>
        <w:contextualSpacing/>
        <w:jc w:val="center"/>
        <w:rPr>
          <w:rFonts w:asciiTheme="minorHAnsi" w:hAnsiTheme="minorHAnsi"/>
          <w:sz w:val="23"/>
          <w:szCs w:val="23"/>
        </w:rPr>
      </w:pPr>
    </w:p>
    <w:p w:rsidR="006C45F8" w:rsidRPr="006C45F8" w:rsidRDefault="006C45F8" w:rsidP="006C45F8">
      <w:pPr>
        <w:spacing w:after="200" w:line="276" w:lineRule="auto"/>
        <w:contextualSpacing/>
        <w:jc w:val="center"/>
        <w:rPr>
          <w:rFonts w:asciiTheme="minorHAnsi" w:hAnsiTheme="minorHAnsi"/>
          <w:b/>
          <w:sz w:val="23"/>
          <w:szCs w:val="23"/>
        </w:rPr>
      </w:pPr>
      <w:r w:rsidRPr="006C45F8">
        <w:rPr>
          <w:rFonts w:asciiTheme="minorHAnsi" w:hAnsiTheme="minorHAnsi"/>
          <w:b/>
          <w:sz w:val="23"/>
          <w:szCs w:val="23"/>
        </w:rPr>
        <w:t>Changes to Drugs of Abuse Testing (urine)</w:t>
      </w:r>
    </w:p>
    <w:p w:rsidR="006C45F8" w:rsidRDefault="006C45F8" w:rsidP="006C45F8">
      <w:pPr>
        <w:spacing w:after="200" w:line="276" w:lineRule="auto"/>
        <w:contextualSpacing/>
        <w:rPr>
          <w:rFonts w:asciiTheme="minorHAnsi" w:hAnsiTheme="minorHAnsi"/>
          <w:sz w:val="23"/>
          <w:szCs w:val="23"/>
        </w:rPr>
      </w:pPr>
    </w:p>
    <w:p w:rsidR="006C45F8" w:rsidRDefault="006C45F8" w:rsidP="00380205">
      <w:pPr>
        <w:spacing w:after="200"/>
        <w:contextualSpacing/>
        <w:rPr>
          <w:rFonts w:asciiTheme="minorHAnsi" w:hAnsiTheme="minorHAnsi"/>
          <w:sz w:val="23"/>
          <w:szCs w:val="23"/>
        </w:rPr>
      </w:pPr>
      <w:r>
        <w:rPr>
          <w:rFonts w:asciiTheme="minorHAnsi" w:hAnsiTheme="minorHAnsi"/>
          <w:sz w:val="23"/>
          <w:szCs w:val="23"/>
        </w:rPr>
        <w:t>Because th</w:t>
      </w:r>
      <w:r w:rsidR="00380205">
        <w:rPr>
          <w:rFonts w:asciiTheme="minorHAnsi" w:hAnsiTheme="minorHAnsi"/>
          <w:sz w:val="23"/>
          <w:szCs w:val="23"/>
        </w:rPr>
        <w:t>is</w:t>
      </w:r>
      <w:r>
        <w:rPr>
          <w:rFonts w:asciiTheme="minorHAnsi" w:hAnsiTheme="minorHAnsi"/>
          <w:sz w:val="23"/>
          <w:szCs w:val="23"/>
        </w:rPr>
        <w:t xml:space="preserve"> drug is no longer available in the United States, screening for propoxyphene (Darvon®) has been dropped from the urine drug screen menu in the Toxicology Laboratory.</w:t>
      </w:r>
    </w:p>
    <w:p w:rsidR="006C45F8" w:rsidRDefault="006C45F8" w:rsidP="006C45F8">
      <w:pPr>
        <w:spacing w:after="200" w:line="276" w:lineRule="auto"/>
        <w:contextualSpacing/>
        <w:rPr>
          <w:rFonts w:asciiTheme="minorHAnsi" w:hAnsiTheme="minorHAnsi"/>
          <w:sz w:val="23"/>
          <w:szCs w:val="23"/>
        </w:rPr>
      </w:pPr>
    </w:p>
    <w:p w:rsidR="006C45F8" w:rsidRDefault="006C45F8" w:rsidP="006C45F8">
      <w:pPr>
        <w:spacing w:after="200" w:line="276" w:lineRule="auto"/>
        <w:contextualSpacing/>
        <w:rPr>
          <w:rFonts w:asciiTheme="minorHAnsi" w:hAnsiTheme="minorHAnsi"/>
          <w:sz w:val="23"/>
          <w:szCs w:val="23"/>
        </w:rPr>
      </w:pPr>
    </w:p>
    <w:p w:rsidR="006C45F8" w:rsidRDefault="006C45F8" w:rsidP="006C45F8">
      <w:pPr>
        <w:spacing w:after="200" w:line="276" w:lineRule="auto"/>
        <w:contextualSpacing/>
        <w:jc w:val="center"/>
        <w:rPr>
          <w:rFonts w:asciiTheme="minorHAnsi" w:hAnsiTheme="minorHAnsi"/>
          <w:sz w:val="23"/>
          <w:szCs w:val="23"/>
        </w:rPr>
      </w:pPr>
      <w:r>
        <w:rPr>
          <w:rFonts w:asciiTheme="minorHAnsi" w:hAnsiTheme="minorHAnsi"/>
          <w:b/>
          <w:sz w:val="23"/>
          <w:szCs w:val="23"/>
        </w:rPr>
        <w:t>Everolimus (</w:t>
      </w:r>
      <w:proofErr w:type="spellStart"/>
      <w:r>
        <w:rPr>
          <w:rFonts w:asciiTheme="minorHAnsi" w:hAnsiTheme="minorHAnsi"/>
          <w:b/>
          <w:sz w:val="23"/>
          <w:szCs w:val="23"/>
        </w:rPr>
        <w:t>Zortr</w:t>
      </w:r>
      <w:r w:rsidR="00380205">
        <w:rPr>
          <w:rFonts w:asciiTheme="minorHAnsi" w:hAnsiTheme="minorHAnsi"/>
          <w:b/>
          <w:sz w:val="23"/>
          <w:szCs w:val="23"/>
        </w:rPr>
        <w:t>ess</w:t>
      </w:r>
      <w:proofErr w:type="spellEnd"/>
      <w:r>
        <w:rPr>
          <w:rFonts w:asciiTheme="minorHAnsi" w:hAnsiTheme="minorHAnsi"/>
          <w:b/>
          <w:sz w:val="23"/>
          <w:szCs w:val="23"/>
        </w:rPr>
        <w:t>®) Testing</w:t>
      </w:r>
    </w:p>
    <w:p w:rsidR="006C45F8" w:rsidRDefault="006C45F8" w:rsidP="006C45F8">
      <w:pPr>
        <w:spacing w:after="200" w:line="276" w:lineRule="auto"/>
        <w:contextualSpacing/>
        <w:jc w:val="center"/>
        <w:rPr>
          <w:rFonts w:asciiTheme="minorHAnsi" w:hAnsiTheme="minorHAnsi"/>
          <w:sz w:val="23"/>
          <w:szCs w:val="23"/>
        </w:rPr>
      </w:pPr>
    </w:p>
    <w:p w:rsidR="00380205" w:rsidRPr="00380205" w:rsidRDefault="00380205" w:rsidP="00380205">
      <w:pPr>
        <w:rPr>
          <w:rFonts w:asciiTheme="minorHAnsi" w:hAnsiTheme="minorHAnsi" w:cs="Arial"/>
          <w:sz w:val="23"/>
          <w:szCs w:val="23"/>
        </w:rPr>
      </w:pPr>
      <w:r w:rsidRPr="00380205">
        <w:rPr>
          <w:rFonts w:asciiTheme="minorHAnsi" w:hAnsiTheme="minorHAnsi"/>
          <w:sz w:val="23"/>
          <w:szCs w:val="23"/>
        </w:rPr>
        <w:t>With the addition of Everolimus (</w:t>
      </w:r>
      <w:proofErr w:type="spellStart"/>
      <w:r w:rsidRPr="00380205">
        <w:rPr>
          <w:rFonts w:asciiTheme="minorHAnsi" w:hAnsiTheme="minorHAnsi"/>
          <w:sz w:val="23"/>
          <w:szCs w:val="23"/>
        </w:rPr>
        <w:t>Zortr</w:t>
      </w:r>
      <w:r>
        <w:rPr>
          <w:rFonts w:asciiTheme="minorHAnsi" w:hAnsiTheme="minorHAnsi"/>
          <w:sz w:val="23"/>
          <w:szCs w:val="23"/>
        </w:rPr>
        <w:t>ess</w:t>
      </w:r>
      <w:proofErr w:type="spellEnd"/>
      <w:r w:rsidRPr="00380205">
        <w:rPr>
          <w:rFonts w:asciiTheme="minorHAnsi" w:hAnsiTheme="minorHAnsi"/>
          <w:sz w:val="23"/>
          <w:szCs w:val="23"/>
        </w:rPr>
        <w:t xml:space="preserve">®) to the UVA formulary, testing will be moved from Mayo Medical Laboratories to the UVA </w:t>
      </w:r>
      <w:r w:rsidR="006C45F8" w:rsidRPr="00380205">
        <w:rPr>
          <w:rFonts w:asciiTheme="minorHAnsi" w:hAnsiTheme="minorHAnsi"/>
          <w:sz w:val="23"/>
          <w:szCs w:val="23"/>
        </w:rPr>
        <w:t>Toxicology Laboratory on June 2</w:t>
      </w:r>
      <w:r w:rsidRPr="00380205">
        <w:rPr>
          <w:rFonts w:asciiTheme="minorHAnsi" w:hAnsiTheme="minorHAnsi"/>
          <w:sz w:val="23"/>
          <w:szCs w:val="23"/>
        </w:rPr>
        <w:t>,</w:t>
      </w:r>
      <w:r w:rsidR="006C45F8" w:rsidRPr="00380205">
        <w:rPr>
          <w:rFonts w:asciiTheme="minorHAnsi" w:hAnsiTheme="minorHAnsi"/>
          <w:sz w:val="23"/>
          <w:szCs w:val="23"/>
        </w:rPr>
        <w:t xml:space="preserve"> 2014.</w:t>
      </w:r>
      <w:r w:rsidRPr="00380205">
        <w:rPr>
          <w:rFonts w:asciiTheme="minorHAnsi" w:hAnsiTheme="minorHAnsi" w:cs="Arial"/>
          <w:sz w:val="23"/>
          <w:szCs w:val="23"/>
        </w:rPr>
        <w:t xml:space="preserve"> Everolimus is an immunosuppressive agent derived from sirolimus (rapamycin)</w:t>
      </w:r>
      <w:r>
        <w:rPr>
          <w:rFonts w:asciiTheme="minorHAnsi" w:hAnsiTheme="minorHAnsi" w:cs="Arial"/>
          <w:sz w:val="23"/>
          <w:szCs w:val="23"/>
        </w:rPr>
        <w:t xml:space="preserve"> and functions via inhibition of </w:t>
      </w:r>
      <w:proofErr w:type="spellStart"/>
      <w:r>
        <w:rPr>
          <w:rFonts w:asciiTheme="minorHAnsi" w:hAnsiTheme="minorHAnsi" w:cs="Arial"/>
          <w:sz w:val="23"/>
          <w:szCs w:val="23"/>
        </w:rPr>
        <w:t>mTOR</w:t>
      </w:r>
      <w:proofErr w:type="spellEnd"/>
      <w:r>
        <w:rPr>
          <w:rFonts w:asciiTheme="minorHAnsi" w:hAnsiTheme="minorHAnsi" w:cs="Arial"/>
          <w:sz w:val="23"/>
          <w:szCs w:val="23"/>
        </w:rPr>
        <w:t xml:space="preserve"> signaling</w:t>
      </w:r>
      <w:r w:rsidRPr="00380205">
        <w:rPr>
          <w:rFonts w:asciiTheme="minorHAnsi" w:hAnsiTheme="minorHAnsi" w:cs="Arial"/>
          <w:sz w:val="23"/>
          <w:szCs w:val="23"/>
        </w:rPr>
        <w:t>. Everolimus has a shorter half-life than sirolimus, which allows for more rapid achievement of steady-state pharmacokinetics. It recently gained FDA approval for prophylaxis of graft rejection in solid organ transplant</w:t>
      </w:r>
      <w:r w:rsidR="001E7903">
        <w:rPr>
          <w:rFonts w:asciiTheme="minorHAnsi" w:hAnsiTheme="minorHAnsi" w:cs="Arial"/>
          <w:sz w:val="23"/>
          <w:szCs w:val="23"/>
        </w:rPr>
        <w:t>s</w:t>
      </w:r>
      <w:r w:rsidRPr="00380205">
        <w:rPr>
          <w:rFonts w:asciiTheme="minorHAnsi" w:hAnsiTheme="minorHAnsi" w:cs="Arial"/>
          <w:sz w:val="23"/>
          <w:szCs w:val="23"/>
        </w:rPr>
        <w:t>, an application which has been accepted for years in Europe</w:t>
      </w:r>
      <w:r>
        <w:rPr>
          <w:rFonts w:asciiTheme="minorHAnsi" w:hAnsiTheme="minorHAnsi" w:cs="Arial"/>
          <w:sz w:val="23"/>
          <w:szCs w:val="23"/>
        </w:rPr>
        <w:t xml:space="preserve">, and also has FDA approval as </w:t>
      </w:r>
      <w:proofErr w:type="gramStart"/>
      <w:r>
        <w:rPr>
          <w:rFonts w:asciiTheme="minorHAnsi" w:hAnsiTheme="minorHAnsi" w:cs="Arial"/>
          <w:sz w:val="23"/>
          <w:szCs w:val="23"/>
        </w:rPr>
        <w:t>an oncology</w:t>
      </w:r>
      <w:proofErr w:type="gramEnd"/>
      <w:r>
        <w:rPr>
          <w:rFonts w:asciiTheme="minorHAnsi" w:hAnsiTheme="minorHAnsi" w:cs="Arial"/>
          <w:sz w:val="23"/>
          <w:szCs w:val="23"/>
        </w:rPr>
        <w:t xml:space="preserve"> chemotherapy</w:t>
      </w:r>
      <w:r w:rsidRPr="00380205">
        <w:rPr>
          <w:rFonts w:asciiTheme="minorHAnsi" w:hAnsiTheme="minorHAnsi" w:cs="Arial"/>
          <w:sz w:val="23"/>
          <w:szCs w:val="23"/>
        </w:rPr>
        <w:t xml:space="preserve">. </w:t>
      </w:r>
      <w:r>
        <w:rPr>
          <w:rFonts w:asciiTheme="minorHAnsi" w:hAnsiTheme="minorHAnsi" w:cs="Arial"/>
          <w:sz w:val="23"/>
          <w:szCs w:val="23"/>
        </w:rPr>
        <w:t xml:space="preserve"> Guidelines suggest that target whole blood values for organ transplant are between 3 and 9 ng/mL (trough level drawn immediately prior to next dose</w:t>
      </w:r>
      <w:r w:rsidR="00075AE9">
        <w:rPr>
          <w:rFonts w:asciiTheme="minorHAnsi" w:hAnsiTheme="minorHAnsi" w:cs="Arial"/>
          <w:sz w:val="23"/>
          <w:szCs w:val="23"/>
        </w:rPr>
        <w:t xml:space="preserve"> in an EDTA/lavender top tube</w:t>
      </w:r>
      <w:r>
        <w:rPr>
          <w:rFonts w:asciiTheme="minorHAnsi" w:hAnsiTheme="minorHAnsi" w:cs="Arial"/>
          <w:sz w:val="23"/>
          <w:szCs w:val="23"/>
        </w:rPr>
        <w:t>).  As with all immunosuppressant</w:t>
      </w:r>
      <w:r w:rsidR="00705C5C">
        <w:rPr>
          <w:rFonts w:asciiTheme="minorHAnsi" w:hAnsiTheme="minorHAnsi" w:cs="Arial"/>
          <w:sz w:val="23"/>
          <w:szCs w:val="23"/>
        </w:rPr>
        <w:t>s</w:t>
      </w:r>
      <w:r>
        <w:rPr>
          <w:rFonts w:asciiTheme="minorHAnsi" w:hAnsiTheme="minorHAnsi" w:cs="Arial"/>
          <w:sz w:val="23"/>
          <w:szCs w:val="23"/>
        </w:rPr>
        <w:t xml:space="preserve"> (cyclosporine, FK-506, and sirolimus), testing will be performed 7 days a week with samples received in the laboratory by 1100 analyzed that day (results available by 1630).  </w:t>
      </w:r>
    </w:p>
    <w:p w:rsidR="006C45F8" w:rsidRPr="00380205" w:rsidRDefault="006C45F8" w:rsidP="006C45F8">
      <w:pPr>
        <w:spacing w:after="200" w:line="276" w:lineRule="auto"/>
        <w:contextualSpacing/>
        <w:rPr>
          <w:rFonts w:asciiTheme="minorHAnsi" w:hAnsiTheme="minorHAnsi"/>
          <w:sz w:val="23"/>
          <w:szCs w:val="23"/>
        </w:rPr>
      </w:pPr>
    </w:p>
    <w:sectPr w:rsidR="006C45F8" w:rsidRPr="00380205" w:rsidSect="00F85210">
      <w:pgSz w:w="12240" w:h="15840"/>
      <w:pgMar w:top="1080" w:right="1440" w:bottom="117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D174D4"/>
    <w:multiLevelType w:val="hybridMultilevel"/>
    <w:tmpl w:val="2A6025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BDA605E"/>
    <w:multiLevelType w:val="hybridMultilevel"/>
    <w:tmpl w:val="7AC0774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403B601B"/>
    <w:multiLevelType w:val="hybridMultilevel"/>
    <w:tmpl w:val="525E5C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6047"/>
    <w:rsid w:val="00075AE9"/>
    <w:rsid w:val="000D4876"/>
    <w:rsid w:val="00116BD9"/>
    <w:rsid w:val="001240DE"/>
    <w:rsid w:val="00124384"/>
    <w:rsid w:val="001D5187"/>
    <w:rsid w:val="001D5E71"/>
    <w:rsid w:val="001E7903"/>
    <w:rsid w:val="00213450"/>
    <w:rsid w:val="00380205"/>
    <w:rsid w:val="003B693A"/>
    <w:rsid w:val="00402FB5"/>
    <w:rsid w:val="005E03B7"/>
    <w:rsid w:val="006C45F8"/>
    <w:rsid w:val="00705C5C"/>
    <w:rsid w:val="007D5121"/>
    <w:rsid w:val="009351D0"/>
    <w:rsid w:val="009A2300"/>
    <w:rsid w:val="009E50CB"/>
    <w:rsid w:val="00AD183D"/>
    <w:rsid w:val="00AF1654"/>
    <w:rsid w:val="00D11187"/>
    <w:rsid w:val="00DB53B3"/>
    <w:rsid w:val="00DC5089"/>
    <w:rsid w:val="00F06047"/>
    <w:rsid w:val="00F85210"/>
    <w:rsid w:val="00F91C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C5089"/>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F06047"/>
    <w:rPr>
      <w:i/>
      <w:iCs/>
      <w:sz w:val="24"/>
      <w:szCs w:val="24"/>
      <w:bdr w:val="none" w:sz="0" w:space="0" w:color="auto" w:frame="1"/>
      <w:vertAlign w:val="baseline"/>
    </w:rPr>
  </w:style>
  <w:style w:type="character" w:styleId="Strong">
    <w:name w:val="Strong"/>
    <w:basedOn w:val="DefaultParagraphFont"/>
    <w:qFormat/>
    <w:rsid w:val="00F06047"/>
    <w:rPr>
      <w:b/>
      <w:bCs/>
      <w:sz w:val="24"/>
      <w:szCs w:val="24"/>
      <w:bdr w:val="none" w:sz="0" w:space="0" w:color="auto" w:frame="1"/>
      <w:vertAlign w:val="baseline"/>
    </w:rPr>
  </w:style>
  <w:style w:type="table" w:styleId="TableGrid">
    <w:name w:val="Table Grid"/>
    <w:basedOn w:val="TableNormal"/>
    <w:rsid w:val="00F0604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99"/>
    <w:qFormat/>
    <w:rsid w:val="009E50CB"/>
    <w:rPr>
      <w:rFonts w:eastAsia="MS Mincho"/>
      <w:sz w:val="24"/>
      <w:szCs w:val="24"/>
      <w:lang w:eastAsia="ja-JP"/>
    </w:rPr>
  </w:style>
  <w:style w:type="paragraph" w:styleId="ListParagraph">
    <w:name w:val="List Paragraph"/>
    <w:basedOn w:val="Normal"/>
    <w:uiPriority w:val="34"/>
    <w:qFormat/>
    <w:rsid w:val="00AF1654"/>
    <w:pPr>
      <w:ind w:left="720"/>
    </w:pPr>
    <w:rPr>
      <w:rFonts w:eastAsiaTheme="minorHAn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C5089"/>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F06047"/>
    <w:rPr>
      <w:i/>
      <w:iCs/>
      <w:sz w:val="24"/>
      <w:szCs w:val="24"/>
      <w:bdr w:val="none" w:sz="0" w:space="0" w:color="auto" w:frame="1"/>
      <w:vertAlign w:val="baseline"/>
    </w:rPr>
  </w:style>
  <w:style w:type="character" w:styleId="Strong">
    <w:name w:val="Strong"/>
    <w:basedOn w:val="DefaultParagraphFont"/>
    <w:qFormat/>
    <w:rsid w:val="00F06047"/>
    <w:rPr>
      <w:b/>
      <w:bCs/>
      <w:sz w:val="24"/>
      <w:szCs w:val="24"/>
      <w:bdr w:val="none" w:sz="0" w:space="0" w:color="auto" w:frame="1"/>
      <w:vertAlign w:val="baseline"/>
    </w:rPr>
  </w:style>
  <w:style w:type="table" w:styleId="TableGrid">
    <w:name w:val="Table Grid"/>
    <w:basedOn w:val="TableNormal"/>
    <w:rsid w:val="00F0604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99"/>
    <w:qFormat/>
    <w:rsid w:val="009E50CB"/>
    <w:rPr>
      <w:rFonts w:eastAsia="MS Mincho"/>
      <w:sz w:val="24"/>
      <w:szCs w:val="24"/>
      <w:lang w:eastAsia="ja-JP"/>
    </w:rPr>
  </w:style>
  <w:style w:type="paragraph" w:styleId="ListParagraph">
    <w:name w:val="List Paragraph"/>
    <w:basedOn w:val="Normal"/>
    <w:uiPriority w:val="34"/>
    <w:qFormat/>
    <w:rsid w:val="00AF1654"/>
    <w:pPr>
      <w:ind w:left="720"/>
    </w:pPr>
    <w:rPr>
      <w:rFonts w:eastAsia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687620">
      <w:bodyDiv w:val="1"/>
      <w:marLeft w:val="0"/>
      <w:marRight w:val="0"/>
      <w:marTop w:val="0"/>
      <w:marBottom w:val="0"/>
      <w:divBdr>
        <w:top w:val="none" w:sz="0" w:space="0" w:color="auto"/>
        <w:left w:val="none" w:sz="0" w:space="0" w:color="auto"/>
        <w:bottom w:val="none" w:sz="0" w:space="0" w:color="auto"/>
        <w:right w:val="none" w:sz="0" w:space="0" w:color="auto"/>
      </w:divBdr>
      <w:divsChild>
        <w:div w:id="1712340082">
          <w:marLeft w:val="0"/>
          <w:marRight w:val="0"/>
          <w:marTop w:val="0"/>
          <w:marBottom w:val="0"/>
          <w:divBdr>
            <w:top w:val="none" w:sz="0" w:space="0" w:color="auto"/>
            <w:left w:val="none" w:sz="0" w:space="0" w:color="auto"/>
            <w:bottom w:val="none" w:sz="0" w:space="0" w:color="auto"/>
            <w:right w:val="none" w:sz="0" w:space="0" w:color="auto"/>
          </w:divBdr>
          <w:divsChild>
            <w:div w:id="1731029112">
              <w:marLeft w:val="0"/>
              <w:marRight w:val="0"/>
              <w:marTop w:val="0"/>
              <w:marBottom w:val="0"/>
              <w:divBdr>
                <w:top w:val="none" w:sz="0" w:space="0" w:color="auto"/>
                <w:left w:val="none" w:sz="0" w:space="0" w:color="auto"/>
                <w:bottom w:val="none" w:sz="0" w:space="0" w:color="auto"/>
                <w:right w:val="none" w:sz="0" w:space="0" w:color="auto"/>
              </w:divBdr>
              <w:divsChild>
                <w:div w:id="795412416">
                  <w:marLeft w:val="0"/>
                  <w:marRight w:val="0"/>
                  <w:marTop w:val="0"/>
                  <w:marBottom w:val="0"/>
                  <w:divBdr>
                    <w:top w:val="none" w:sz="0" w:space="0" w:color="auto"/>
                    <w:left w:val="none" w:sz="0" w:space="0" w:color="auto"/>
                    <w:bottom w:val="none" w:sz="0" w:space="0" w:color="auto"/>
                    <w:right w:val="none" w:sz="0" w:space="0" w:color="auto"/>
                  </w:divBdr>
                  <w:divsChild>
                    <w:div w:id="704870286">
                      <w:marLeft w:val="0"/>
                      <w:marRight w:val="0"/>
                      <w:marTop w:val="0"/>
                      <w:marBottom w:val="0"/>
                      <w:divBdr>
                        <w:top w:val="none" w:sz="0" w:space="0" w:color="auto"/>
                        <w:left w:val="none" w:sz="0" w:space="0" w:color="auto"/>
                        <w:bottom w:val="none" w:sz="0" w:space="0" w:color="auto"/>
                        <w:right w:val="none" w:sz="0" w:space="0" w:color="auto"/>
                      </w:divBdr>
                      <w:divsChild>
                        <w:div w:id="522088170">
                          <w:marLeft w:val="0"/>
                          <w:marRight w:val="0"/>
                          <w:marTop w:val="0"/>
                          <w:marBottom w:val="0"/>
                          <w:divBdr>
                            <w:top w:val="none" w:sz="0" w:space="0" w:color="auto"/>
                            <w:left w:val="none" w:sz="0" w:space="0" w:color="auto"/>
                            <w:bottom w:val="none" w:sz="0" w:space="0" w:color="auto"/>
                            <w:right w:val="none" w:sz="0" w:space="0" w:color="auto"/>
                          </w:divBdr>
                          <w:divsChild>
                            <w:div w:id="410080636">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8486330">
      <w:bodyDiv w:val="1"/>
      <w:marLeft w:val="0"/>
      <w:marRight w:val="0"/>
      <w:marTop w:val="0"/>
      <w:marBottom w:val="0"/>
      <w:divBdr>
        <w:top w:val="none" w:sz="0" w:space="0" w:color="auto"/>
        <w:left w:val="none" w:sz="0" w:space="0" w:color="auto"/>
        <w:bottom w:val="none" w:sz="0" w:space="0" w:color="auto"/>
        <w:right w:val="none" w:sz="0" w:space="0" w:color="auto"/>
      </w:divBdr>
      <w:divsChild>
        <w:div w:id="1799638818">
          <w:marLeft w:val="0"/>
          <w:marRight w:val="0"/>
          <w:marTop w:val="0"/>
          <w:marBottom w:val="0"/>
          <w:divBdr>
            <w:top w:val="none" w:sz="0" w:space="0" w:color="auto"/>
            <w:left w:val="none" w:sz="0" w:space="0" w:color="auto"/>
            <w:bottom w:val="none" w:sz="0" w:space="0" w:color="auto"/>
            <w:right w:val="none" w:sz="0" w:space="0" w:color="auto"/>
          </w:divBdr>
          <w:divsChild>
            <w:div w:id="905458487">
              <w:marLeft w:val="0"/>
              <w:marRight w:val="0"/>
              <w:marTop w:val="0"/>
              <w:marBottom w:val="0"/>
              <w:divBdr>
                <w:top w:val="none" w:sz="0" w:space="0" w:color="auto"/>
                <w:left w:val="none" w:sz="0" w:space="0" w:color="auto"/>
                <w:bottom w:val="none" w:sz="0" w:space="0" w:color="auto"/>
                <w:right w:val="none" w:sz="0" w:space="0" w:color="auto"/>
              </w:divBdr>
              <w:divsChild>
                <w:div w:id="1544829163">
                  <w:marLeft w:val="0"/>
                  <w:marRight w:val="0"/>
                  <w:marTop w:val="0"/>
                  <w:marBottom w:val="0"/>
                  <w:divBdr>
                    <w:top w:val="none" w:sz="0" w:space="0" w:color="auto"/>
                    <w:left w:val="none" w:sz="0" w:space="0" w:color="auto"/>
                    <w:bottom w:val="none" w:sz="0" w:space="0" w:color="auto"/>
                    <w:right w:val="none" w:sz="0" w:space="0" w:color="auto"/>
                  </w:divBdr>
                  <w:divsChild>
                    <w:div w:id="1858882314">
                      <w:marLeft w:val="0"/>
                      <w:marRight w:val="0"/>
                      <w:marTop w:val="0"/>
                      <w:marBottom w:val="0"/>
                      <w:divBdr>
                        <w:top w:val="none" w:sz="0" w:space="0" w:color="auto"/>
                        <w:left w:val="none" w:sz="0" w:space="0" w:color="auto"/>
                        <w:bottom w:val="none" w:sz="0" w:space="0" w:color="auto"/>
                        <w:right w:val="none" w:sz="0" w:space="0" w:color="auto"/>
                      </w:divBdr>
                      <w:divsChild>
                        <w:div w:id="501972837">
                          <w:marLeft w:val="0"/>
                          <w:marRight w:val="0"/>
                          <w:marTop w:val="0"/>
                          <w:marBottom w:val="0"/>
                          <w:divBdr>
                            <w:top w:val="none" w:sz="0" w:space="0" w:color="auto"/>
                            <w:left w:val="none" w:sz="0" w:space="0" w:color="auto"/>
                            <w:bottom w:val="none" w:sz="0" w:space="0" w:color="auto"/>
                            <w:right w:val="none" w:sz="0" w:space="0" w:color="auto"/>
                          </w:divBdr>
                          <w:divsChild>
                            <w:div w:id="78871932">
                              <w:marLeft w:val="0"/>
                              <w:marRight w:val="0"/>
                              <w:marTop w:val="0"/>
                              <w:marBottom w:val="0"/>
                              <w:divBdr>
                                <w:top w:val="none" w:sz="0" w:space="0" w:color="auto"/>
                                <w:left w:val="none" w:sz="0" w:space="0" w:color="auto"/>
                                <w:bottom w:val="none" w:sz="0" w:space="0" w:color="auto"/>
                                <w:right w:val="none" w:sz="0" w:space="0" w:color="auto"/>
                              </w:divBdr>
                              <w:divsChild>
                                <w:div w:id="1645156711">
                                  <w:marLeft w:val="0"/>
                                  <w:marRight w:val="0"/>
                                  <w:marTop w:val="0"/>
                                  <w:marBottom w:val="0"/>
                                  <w:divBdr>
                                    <w:top w:val="none" w:sz="0" w:space="0" w:color="auto"/>
                                    <w:left w:val="none" w:sz="0" w:space="0" w:color="auto"/>
                                    <w:bottom w:val="none" w:sz="0" w:space="0" w:color="auto"/>
                                    <w:right w:val="none" w:sz="0" w:space="0" w:color="auto"/>
                                  </w:divBdr>
                                  <w:divsChild>
                                    <w:div w:id="1008295181">
                                      <w:marLeft w:val="0"/>
                                      <w:marRight w:val="0"/>
                                      <w:marTop w:val="0"/>
                                      <w:marBottom w:val="0"/>
                                      <w:divBdr>
                                        <w:top w:val="none" w:sz="0" w:space="0" w:color="auto"/>
                                        <w:left w:val="none" w:sz="0" w:space="0" w:color="auto"/>
                                        <w:bottom w:val="none" w:sz="0" w:space="0" w:color="auto"/>
                                        <w:right w:val="none" w:sz="0" w:space="0" w:color="auto"/>
                                      </w:divBdr>
                                      <w:divsChild>
                                        <w:div w:id="1915822421">
                                          <w:marLeft w:val="0"/>
                                          <w:marRight w:val="0"/>
                                          <w:marTop w:val="0"/>
                                          <w:marBottom w:val="0"/>
                                          <w:divBdr>
                                            <w:top w:val="none" w:sz="0" w:space="0" w:color="auto"/>
                                            <w:left w:val="none" w:sz="0" w:space="0" w:color="auto"/>
                                            <w:bottom w:val="none" w:sz="0" w:space="0" w:color="auto"/>
                                            <w:right w:val="none" w:sz="0" w:space="0" w:color="auto"/>
                                          </w:divBdr>
                                          <w:divsChild>
                                            <w:div w:id="254437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740</Words>
  <Characters>4221</Characters>
  <Application>Microsoft Office Word</Application>
  <DocSecurity>4</DocSecurity>
  <Lines>35</Lines>
  <Paragraphs>9</Paragraphs>
  <ScaleCrop>false</ScaleCrop>
  <HeadingPairs>
    <vt:vector size="2" baseType="variant">
      <vt:variant>
        <vt:lpstr>Title</vt:lpstr>
      </vt:variant>
      <vt:variant>
        <vt:i4>1</vt:i4>
      </vt:variant>
    </vt:vector>
  </HeadingPairs>
  <TitlesOfParts>
    <vt:vector size="1" baseType="lpstr">
      <vt:lpstr>Microarray for Identification of Gram Positive Cocci in Blood Cultures</vt:lpstr>
    </vt:vector>
  </TitlesOfParts>
  <Company>UVA</Company>
  <LinksUpToDate>false</LinksUpToDate>
  <CharactersWithSpaces>4952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Microarray for Identification of Gram Positive Cocci in Blood Cultures</dc:title>
  <dc:creator>Melinda D Poulter</dc:creator>
  <cp:lastModifiedBy>Smith, JD *HS</cp:lastModifiedBy>
  <cp:revision>2</cp:revision>
  <cp:lastPrinted>2014-05-22T17:25:00Z</cp:lastPrinted>
  <dcterms:created xsi:type="dcterms:W3CDTF">2014-05-22T17:25:00Z</dcterms:created>
  <dcterms:modified xsi:type="dcterms:W3CDTF">2014-05-22T17:25:00Z</dcterms:modified>
</cp:coreProperties>
</file>