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D08E0" w:rsidRPr="00FD08E0" w:rsidRDefault="008226DB" w:rsidP="00FD08E0">
      <w:pPr>
        <w:pStyle w:val="NoSpacing"/>
        <w:jc w:val="center"/>
        <w:outlineLvl w:val="0"/>
        <w:rPr>
          <w:rFonts w:asciiTheme="minorHAnsi" w:hAnsiTheme="minorHAnsi"/>
          <w:sz w:val="28"/>
          <w:szCs w:val="28"/>
        </w:rPr>
      </w:pPr>
      <w:r w:rsidRPr="008226DB">
        <w:rPr>
          <w:rFonts w:asciiTheme="minorHAnsi" w:hAnsiTheme="minorHAnsi"/>
          <w:sz w:val="28"/>
          <w:szCs w:val="28"/>
        </w:rPr>
        <w:t>University of Virginia Health System</w:t>
      </w:r>
    </w:p>
    <w:p w:rsidR="00FD08E0" w:rsidRPr="00FD08E0" w:rsidRDefault="008226DB" w:rsidP="00FD08E0">
      <w:pPr>
        <w:pStyle w:val="NoSpacing"/>
        <w:jc w:val="center"/>
        <w:outlineLvl w:val="0"/>
        <w:rPr>
          <w:rFonts w:asciiTheme="minorHAnsi" w:hAnsiTheme="minorHAnsi"/>
          <w:b/>
          <w:snapToGrid w:val="0"/>
          <w:sz w:val="28"/>
          <w:szCs w:val="28"/>
        </w:rPr>
      </w:pPr>
      <w:r w:rsidRPr="008226DB">
        <w:rPr>
          <w:rFonts w:asciiTheme="minorHAnsi" w:hAnsiTheme="minorHAnsi"/>
          <w:b/>
          <w:snapToGrid w:val="0"/>
          <w:sz w:val="28"/>
          <w:szCs w:val="28"/>
        </w:rPr>
        <w:t>Medical Laboratories</w:t>
      </w:r>
    </w:p>
    <w:p w:rsidR="00FD08E0" w:rsidRPr="00FD08E0" w:rsidRDefault="008226DB" w:rsidP="00FD08E0">
      <w:pPr>
        <w:pStyle w:val="NoSpacing"/>
        <w:jc w:val="center"/>
        <w:outlineLvl w:val="0"/>
        <w:rPr>
          <w:rFonts w:asciiTheme="minorHAnsi" w:hAnsiTheme="minorHAnsi"/>
          <w:b/>
          <w:i/>
          <w:snapToGrid w:val="0"/>
          <w:sz w:val="28"/>
          <w:szCs w:val="28"/>
        </w:rPr>
      </w:pPr>
      <w:r w:rsidRPr="008226DB">
        <w:rPr>
          <w:rFonts w:asciiTheme="minorHAnsi" w:hAnsiTheme="minorHAnsi"/>
          <w:b/>
          <w:i/>
          <w:snapToGrid w:val="0"/>
          <w:sz w:val="28"/>
          <w:szCs w:val="28"/>
        </w:rPr>
        <w:t>“Quality You Expect, Service You Deserve”</w:t>
      </w:r>
    </w:p>
    <w:p w:rsidR="00FD08E0" w:rsidRPr="00FD08E0" w:rsidRDefault="00FD08E0" w:rsidP="00FD08E0">
      <w:pPr>
        <w:pStyle w:val="NoSpacing"/>
        <w:jc w:val="center"/>
        <w:rPr>
          <w:rFonts w:asciiTheme="minorHAnsi" w:hAnsiTheme="minorHAnsi"/>
          <w:b/>
          <w:i/>
          <w:snapToGrid w:val="0"/>
        </w:rPr>
      </w:pPr>
    </w:p>
    <w:p w:rsidR="00FD08E0" w:rsidRDefault="008226DB" w:rsidP="00FD08E0">
      <w:pPr>
        <w:keepNext/>
        <w:widowControl w:val="0"/>
        <w:jc w:val="center"/>
        <w:outlineLvl w:val="0"/>
        <w:rPr>
          <w:rFonts w:asciiTheme="minorHAnsi" w:hAnsiTheme="minorHAnsi"/>
          <w:b/>
          <w:i/>
          <w:snapToGrid w:val="0"/>
          <w:sz w:val="28"/>
          <w:szCs w:val="28"/>
          <w:u w:val="single"/>
        </w:rPr>
      </w:pPr>
      <w:r w:rsidRPr="008226DB">
        <w:rPr>
          <w:rFonts w:asciiTheme="minorHAnsi" w:hAnsiTheme="minorHAnsi"/>
          <w:b/>
          <w:i/>
          <w:snapToGrid w:val="0"/>
          <w:sz w:val="28"/>
          <w:szCs w:val="28"/>
          <w:u w:val="single"/>
        </w:rPr>
        <w:t>LABORATORY MEDICINE UPDATE</w:t>
      </w:r>
    </w:p>
    <w:p w:rsidR="00FD08E0" w:rsidRPr="00FD08E0" w:rsidRDefault="00FD08E0" w:rsidP="00FD08E0">
      <w:pPr>
        <w:keepNext/>
        <w:widowControl w:val="0"/>
        <w:jc w:val="center"/>
        <w:outlineLvl w:val="0"/>
        <w:rPr>
          <w:rFonts w:asciiTheme="minorHAnsi" w:hAnsiTheme="minorHAnsi"/>
          <w:b/>
          <w:i/>
          <w:snapToGrid w:val="0"/>
          <w:sz w:val="28"/>
          <w:szCs w:val="28"/>
          <w:u w:val="single"/>
        </w:rPr>
      </w:pPr>
    </w:p>
    <w:p w:rsidR="00FD08E0" w:rsidRPr="00FD08E0" w:rsidRDefault="008226DB" w:rsidP="00FD08E0">
      <w:pPr>
        <w:jc w:val="center"/>
        <w:rPr>
          <w:rFonts w:asciiTheme="minorHAnsi" w:hAnsiTheme="minorHAnsi"/>
          <w:snapToGrid w:val="0"/>
          <w:sz w:val="28"/>
          <w:szCs w:val="28"/>
          <w:u w:val="single"/>
        </w:rPr>
      </w:pPr>
      <w:r w:rsidRPr="008226DB">
        <w:rPr>
          <w:rFonts w:asciiTheme="minorHAnsi" w:hAnsiTheme="minorHAnsi"/>
          <w:snapToGrid w:val="0"/>
          <w:sz w:val="28"/>
          <w:szCs w:val="28"/>
          <w:u w:val="single"/>
        </w:rPr>
        <w:t>March 5, 2014</w:t>
      </w:r>
    </w:p>
    <w:p w:rsidR="00FD08E0" w:rsidRPr="00FD08E0" w:rsidRDefault="00FD08E0">
      <w:pPr>
        <w:rPr>
          <w:rFonts w:asciiTheme="minorHAnsi" w:hAnsiTheme="minorHAnsi"/>
          <w:b/>
        </w:rPr>
      </w:pPr>
    </w:p>
    <w:p w:rsidR="00894E55" w:rsidRDefault="008226DB">
      <w:pPr>
        <w:jc w:val="center"/>
        <w:rPr>
          <w:rFonts w:asciiTheme="minorHAnsi" w:hAnsiTheme="minorHAnsi"/>
          <w:b/>
        </w:rPr>
      </w:pPr>
      <w:r w:rsidRPr="008226DB">
        <w:rPr>
          <w:rFonts w:asciiTheme="minorHAnsi" w:hAnsiTheme="minorHAnsi"/>
          <w:b/>
        </w:rPr>
        <w:t>Change of PTH Assay</w:t>
      </w:r>
    </w:p>
    <w:p w:rsidR="00961E59" w:rsidRPr="00FD08E0" w:rsidRDefault="00961E59">
      <w:pPr>
        <w:rPr>
          <w:rFonts w:asciiTheme="minorHAnsi" w:hAnsiTheme="minorHAnsi"/>
        </w:rPr>
      </w:pPr>
    </w:p>
    <w:p w:rsidR="0040493A" w:rsidRPr="00FD08E0" w:rsidRDefault="008226DB">
      <w:pPr>
        <w:rPr>
          <w:rFonts w:asciiTheme="minorHAnsi" w:hAnsiTheme="minorHAnsi"/>
        </w:rPr>
      </w:pPr>
      <w:r w:rsidRPr="008226DB">
        <w:rPr>
          <w:rFonts w:asciiTheme="minorHAnsi" w:hAnsiTheme="minorHAnsi"/>
        </w:rPr>
        <w:t xml:space="preserve">On February 13, Abbott Diagnostics notified UVA of a recall of their Architect reagents for measurement of parathyroid hormone (PTH). The recall cited a 13%-45% increase in results with reagent lots used at UVA since January 2013. </w:t>
      </w:r>
    </w:p>
    <w:p w:rsidR="0040493A" w:rsidRPr="00FD08E0" w:rsidRDefault="0040493A">
      <w:pPr>
        <w:rPr>
          <w:rFonts w:asciiTheme="minorHAnsi" w:hAnsiTheme="minorHAnsi"/>
        </w:rPr>
      </w:pPr>
    </w:p>
    <w:p w:rsidR="00961E59" w:rsidRPr="00FD08E0" w:rsidRDefault="008226DB">
      <w:pPr>
        <w:rPr>
          <w:rFonts w:asciiTheme="minorHAnsi" w:hAnsiTheme="minorHAnsi"/>
        </w:rPr>
      </w:pPr>
      <w:r w:rsidRPr="008226DB">
        <w:rPr>
          <w:rFonts w:asciiTheme="minorHAnsi" w:hAnsiTheme="minorHAnsi"/>
        </w:rPr>
        <w:t xml:space="preserve">UVA Medical Laboratories has taken the following steps: (1) On February 13, </w:t>
      </w:r>
      <w:r w:rsidR="00FD08E0">
        <w:rPr>
          <w:rFonts w:asciiTheme="minorHAnsi" w:hAnsiTheme="minorHAnsi"/>
        </w:rPr>
        <w:t>the laboratory</w:t>
      </w:r>
      <w:r w:rsidRPr="008226DB">
        <w:rPr>
          <w:rFonts w:asciiTheme="minorHAnsi" w:hAnsiTheme="minorHAnsi"/>
        </w:rPr>
        <w:t xml:space="preserve"> halted use of the Abbott PTH reagent,  (2) implemented an  alternative method (Siemens </w:t>
      </w:r>
      <w:proofErr w:type="spellStart"/>
      <w:r w:rsidRPr="008226DB">
        <w:rPr>
          <w:rFonts w:asciiTheme="minorHAnsi" w:hAnsiTheme="minorHAnsi"/>
        </w:rPr>
        <w:t>Immulite</w:t>
      </w:r>
      <w:proofErr w:type="spellEnd"/>
      <w:r w:rsidRPr="008226DB">
        <w:rPr>
          <w:rFonts w:asciiTheme="minorHAnsi" w:hAnsiTheme="minorHAnsi"/>
        </w:rPr>
        <w:t xml:space="preserve"> assay) on February 18-20, and (3) completed analysis of all (~200) samples in the laboratory on February 21 with the </w:t>
      </w:r>
      <w:proofErr w:type="spellStart"/>
      <w:r w:rsidRPr="008226DB">
        <w:rPr>
          <w:rFonts w:asciiTheme="minorHAnsi" w:hAnsiTheme="minorHAnsi"/>
        </w:rPr>
        <w:t>Immulite</w:t>
      </w:r>
      <w:proofErr w:type="spellEnd"/>
      <w:r w:rsidRPr="008226DB">
        <w:rPr>
          <w:rFonts w:asciiTheme="minorHAnsi" w:hAnsiTheme="minorHAnsi"/>
        </w:rPr>
        <w:t xml:space="preserve"> assay.</w:t>
      </w:r>
    </w:p>
    <w:p w:rsidR="00961E59" w:rsidRPr="00FD08E0" w:rsidRDefault="00961E59">
      <w:pPr>
        <w:rPr>
          <w:rFonts w:asciiTheme="minorHAnsi" w:hAnsiTheme="minorHAnsi"/>
        </w:rPr>
      </w:pPr>
    </w:p>
    <w:p w:rsidR="00961E59" w:rsidRPr="00FD08E0" w:rsidRDefault="008226DB">
      <w:pPr>
        <w:rPr>
          <w:rFonts w:asciiTheme="minorHAnsi" w:hAnsiTheme="minorHAnsi"/>
        </w:rPr>
      </w:pPr>
      <w:r w:rsidRPr="008226DB">
        <w:rPr>
          <w:rFonts w:asciiTheme="minorHAnsi" w:hAnsiTheme="minorHAnsi"/>
        </w:rPr>
        <w:t xml:space="preserve">The assay in use now (Siemens </w:t>
      </w:r>
      <w:proofErr w:type="spellStart"/>
      <w:r w:rsidRPr="008226DB">
        <w:rPr>
          <w:rFonts w:asciiTheme="minorHAnsi" w:hAnsiTheme="minorHAnsi"/>
        </w:rPr>
        <w:t>Immulite</w:t>
      </w:r>
      <w:proofErr w:type="spellEnd"/>
      <w:r w:rsidRPr="008226DB">
        <w:rPr>
          <w:rFonts w:asciiTheme="minorHAnsi" w:hAnsiTheme="minorHAnsi"/>
        </w:rPr>
        <w:t xml:space="preserve">) had been used at UVA until May of 2011 when it was replaced with the Abbott assay. At that time, the results of the two methods agreed closely, with a mean difference </w:t>
      </w:r>
      <w:proofErr w:type="gramStart"/>
      <w:r w:rsidRPr="008226DB">
        <w:rPr>
          <w:rFonts w:asciiTheme="minorHAnsi" w:hAnsiTheme="minorHAnsi"/>
        </w:rPr>
        <w:t>of 5 pg/</w:t>
      </w:r>
      <w:proofErr w:type="spellStart"/>
      <w:r w:rsidRPr="008226DB">
        <w:rPr>
          <w:rFonts w:asciiTheme="minorHAnsi" w:hAnsiTheme="minorHAnsi"/>
        </w:rPr>
        <w:t>mL</w:t>
      </w:r>
      <w:proofErr w:type="gramEnd"/>
      <w:r w:rsidRPr="008226DB">
        <w:rPr>
          <w:rFonts w:asciiTheme="minorHAnsi" w:hAnsiTheme="minorHAnsi"/>
        </w:rPr>
        <w:t>.</w:t>
      </w:r>
      <w:proofErr w:type="spellEnd"/>
      <w:r w:rsidRPr="008226DB">
        <w:rPr>
          <w:rFonts w:asciiTheme="minorHAnsi" w:hAnsiTheme="minorHAnsi"/>
        </w:rPr>
        <w:t xml:space="preserve"> Comparison of the results of the two assays now shows a mean difference of 30%-32%, consistent with the manufacturer’s recall indicating an increase of 13%-45% in the Abbott results.</w:t>
      </w:r>
    </w:p>
    <w:p w:rsidR="0040493A" w:rsidRPr="00FD08E0" w:rsidRDefault="0040493A">
      <w:pPr>
        <w:rPr>
          <w:rFonts w:asciiTheme="minorHAnsi" w:hAnsiTheme="minorHAnsi"/>
        </w:rPr>
      </w:pPr>
    </w:p>
    <w:p w:rsidR="0040493A" w:rsidRDefault="008226DB">
      <w:pPr>
        <w:rPr>
          <w:rFonts w:asciiTheme="minorHAnsi" w:hAnsiTheme="minorHAnsi"/>
        </w:rPr>
      </w:pPr>
      <w:r w:rsidRPr="008226DB">
        <w:rPr>
          <w:rFonts w:asciiTheme="minorHAnsi" w:hAnsiTheme="minorHAnsi"/>
        </w:rPr>
        <w:t xml:space="preserve">In view of the potentially misleading results of the PTH assay during the last year, repeat PTH testing will be performed as needed </w:t>
      </w:r>
      <w:bookmarkStart w:id="0" w:name="_GoBack"/>
      <w:bookmarkEnd w:id="0"/>
      <w:r w:rsidRPr="008226DB">
        <w:rPr>
          <w:rFonts w:asciiTheme="minorHAnsi" w:hAnsiTheme="minorHAnsi"/>
        </w:rPr>
        <w:t xml:space="preserve">at no charge. To arrange no-cost retesting, contact Dr Haverstick at dmh2t@virginia. </w:t>
      </w:r>
    </w:p>
    <w:p w:rsidR="00FD08E0" w:rsidRDefault="00FD08E0">
      <w:pPr>
        <w:rPr>
          <w:rFonts w:asciiTheme="minorHAnsi" w:hAnsiTheme="minorHAnsi"/>
        </w:rPr>
      </w:pPr>
    </w:p>
    <w:p w:rsidR="00894E55" w:rsidRDefault="00894E55">
      <w:pPr>
        <w:jc w:val="center"/>
        <w:rPr>
          <w:rFonts w:asciiTheme="minorHAnsi" w:hAnsiTheme="minorHAnsi"/>
        </w:rPr>
      </w:pPr>
    </w:p>
    <w:p w:rsidR="00894E55" w:rsidRPr="00783EBB" w:rsidRDefault="00FD08E0">
      <w:pPr>
        <w:jc w:val="center"/>
        <w:rPr>
          <w:rFonts w:asciiTheme="minorHAnsi" w:hAnsiTheme="minorHAnsi"/>
          <w:b/>
        </w:rPr>
      </w:pPr>
      <w:r w:rsidRPr="00783EBB">
        <w:rPr>
          <w:rFonts w:asciiTheme="minorHAnsi" w:hAnsiTheme="minorHAnsi"/>
          <w:b/>
        </w:rPr>
        <w:t>Occult Blood Specimens</w:t>
      </w:r>
    </w:p>
    <w:p w:rsidR="00894E55" w:rsidRDefault="00894E55">
      <w:pPr>
        <w:jc w:val="center"/>
        <w:rPr>
          <w:rFonts w:asciiTheme="minorHAnsi" w:hAnsiTheme="minorHAnsi"/>
        </w:rPr>
      </w:pPr>
    </w:p>
    <w:p w:rsidR="00FD08E0" w:rsidRDefault="00FD08E0" w:rsidP="00FD08E0">
      <w:pPr>
        <w:rPr>
          <w:rFonts w:asciiTheme="minorHAnsi" w:hAnsiTheme="minorHAnsi"/>
        </w:rPr>
      </w:pPr>
      <w:proofErr w:type="gramStart"/>
      <w:r>
        <w:rPr>
          <w:rFonts w:asciiTheme="minorHAnsi" w:hAnsiTheme="minorHAnsi"/>
        </w:rPr>
        <w:t>When providing patients with the Occult Blood Kits for specimen collection in the home, please attach a clinic sticker from the patient’s visit to the box.</w:t>
      </w:r>
      <w:proofErr w:type="gramEnd"/>
      <w:r>
        <w:rPr>
          <w:rFonts w:asciiTheme="minorHAnsi" w:hAnsiTheme="minorHAnsi"/>
        </w:rPr>
        <w:t xml:space="preserve">  This will provide the lab with the correct ordering location and physician and prevent any delay in testing while the request is investigated.  This will also assure that the results are sent to the correct physician.</w:t>
      </w:r>
    </w:p>
    <w:p w:rsidR="00783EBB" w:rsidRDefault="00783EBB" w:rsidP="00FD08E0">
      <w:pPr>
        <w:rPr>
          <w:rFonts w:asciiTheme="minorHAnsi" w:hAnsiTheme="minorHAnsi"/>
        </w:rPr>
      </w:pPr>
    </w:p>
    <w:p w:rsidR="00783EBB" w:rsidRDefault="00783EBB">
      <w:pPr>
        <w:rPr>
          <w:rFonts w:asciiTheme="minorHAnsi" w:hAnsiTheme="minorHAnsi"/>
        </w:rPr>
      </w:pPr>
      <w:r>
        <w:rPr>
          <w:rFonts w:asciiTheme="minorHAnsi" w:hAnsiTheme="minorHAnsi"/>
        </w:rPr>
        <w:br w:type="page"/>
      </w:r>
    </w:p>
    <w:p w:rsidR="00783EBB" w:rsidRDefault="00783EBB" w:rsidP="00783EBB">
      <w:pPr>
        <w:jc w:val="center"/>
        <w:rPr>
          <w:rFonts w:asciiTheme="minorHAnsi" w:hAnsiTheme="minorHAnsi"/>
        </w:rPr>
      </w:pPr>
      <w:r>
        <w:rPr>
          <w:rFonts w:asciiTheme="minorHAnsi" w:hAnsiTheme="minorHAnsi"/>
          <w:b/>
        </w:rPr>
        <w:lastRenderedPageBreak/>
        <w:t>Specimens to Be Sent to the State Lab or the CDC for Testing</w:t>
      </w:r>
    </w:p>
    <w:p w:rsidR="00783EBB" w:rsidRDefault="00783EBB" w:rsidP="00783EBB">
      <w:pPr>
        <w:jc w:val="center"/>
        <w:rPr>
          <w:rFonts w:asciiTheme="minorHAnsi" w:hAnsiTheme="minorHAnsi"/>
        </w:rPr>
      </w:pPr>
    </w:p>
    <w:p w:rsidR="00783EBB" w:rsidRDefault="00783EBB" w:rsidP="00783EBB">
      <w:pPr>
        <w:rPr>
          <w:rFonts w:asciiTheme="minorHAnsi" w:hAnsiTheme="minorHAnsi"/>
        </w:rPr>
      </w:pPr>
      <w:r>
        <w:rPr>
          <w:rFonts w:asciiTheme="minorHAnsi" w:hAnsiTheme="minorHAnsi"/>
        </w:rPr>
        <w:t>At the request of Virginia Department of Health, Clinical Microbiology, and Hospital Epidemiology, the process for sending samples for testing to the Virginia State Lab (DCLS) or any CDC Laboratory has been formalized.  The Clinical Microbiology Director on-call (</w:t>
      </w:r>
      <w:proofErr w:type="spellStart"/>
      <w:r>
        <w:rPr>
          <w:rFonts w:asciiTheme="minorHAnsi" w:hAnsiTheme="minorHAnsi"/>
        </w:rPr>
        <w:t>pic</w:t>
      </w:r>
      <w:proofErr w:type="spellEnd"/>
      <w:r>
        <w:rPr>
          <w:rFonts w:asciiTheme="minorHAnsi" w:hAnsiTheme="minorHAnsi"/>
        </w:rPr>
        <w:t xml:space="preserve"> 1221) will coordinate with Virginia Department of Health to be sure that such testing is considered warranted by them.  If a specimen is submitted to the Labs without prior authorization from the Microbiology Director on-call, the labs will notify </w:t>
      </w:r>
      <w:proofErr w:type="spellStart"/>
      <w:r w:rsidR="007F3A9C">
        <w:rPr>
          <w:rFonts w:asciiTheme="minorHAnsi" w:hAnsiTheme="minorHAnsi"/>
        </w:rPr>
        <w:t>pic</w:t>
      </w:r>
      <w:proofErr w:type="spellEnd"/>
      <w:r w:rsidR="007F3A9C">
        <w:rPr>
          <w:rFonts w:asciiTheme="minorHAnsi" w:hAnsiTheme="minorHAnsi"/>
        </w:rPr>
        <w:t xml:space="preserve"> </w:t>
      </w:r>
      <w:r>
        <w:rPr>
          <w:rFonts w:asciiTheme="minorHAnsi" w:hAnsiTheme="minorHAnsi"/>
        </w:rPr>
        <w:t>1221 who, in turn, will contact the requesting physicia</w:t>
      </w:r>
      <w:r w:rsidR="00DD1F79">
        <w:rPr>
          <w:rFonts w:asciiTheme="minorHAnsi" w:hAnsiTheme="minorHAnsi"/>
        </w:rPr>
        <w:t>n for clinical symptoms and to e</w:t>
      </w:r>
      <w:r>
        <w:rPr>
          <w:rFonts w:asciiTheme="minorHAnsi" w:hAnsiTheme="minorHAnsi"/>
        </w:rPr>
        <w:t>nsure that the appropriate paperwork is completed.</w:t>
      </w:r>
    </w:p>
    <w:p w:rsidR="00783EBB" w:rsidRDefault="00783EBB" w:rsidP="00783EBB">
      <w:pPr>
        <w:rPr>
          <w:rFonts w:asciiTheme="minorHAnsi" w:hAnsiTheme="minorHAnsi"/>
        </w:rPr>
      </w:pPr>
    </w:p>
    <w:p w:rsidR="00783EBB" w:rsidRDefault="00783EBB" w:rsidP="00783EBB">
      <w:pPr>
        <w:rPr>
          <w:rFonts w:asciiTheme="minorHAnsi" w:hAnsiTheme="minorHAnsi"/>
        </w:rPr>
      </w:pPr>
      <w:r>
        <w:rPr>
          <w:rFonts w:asciiTheme="minorHAnsi" w:hAnsiTheme="minorHAnsi"/>
        </w:rPr>
        <w:t>The tests below list are representative of such requests</w:t>
      </w:r>
      <w:r w:rsidR="007F3A9C">
        <w:rPr>
          <w:rFonts w:asciiTheme="minorHAnsi" w:hAnsiTheme="minorHAnsi"/>
        </w:rPr>
        <w:t>;</w:t>
      </w:r>
      <w:r>
        <w:rPr>
          <w:rFonts w:asciiTheme="minorHAnsi" w:hAnsiTheme="minorHAnsi"/>
        </w:rPr>
        <w:t xml:space="preserve"> the list is not all-inclusive.</w:t>
      </w:r>
    </w:p>
    <w:p w:rsidR="00783EBB" w:rsidRDefault="00783EBB" w:rsidP="00783EBB">
      <w:pPr>
        <w:rPr>
          <w:rFonts w:asciiTheme="minorHAnsi" w:hAnsiTheme="minorHAnsi"/>
        </w:rPr>
      </w:pPr>
    </w:p>
    <w:p w:rsidR="00783EBB" w:rsidRDefault="00783EBB" w:rsidP="00783EBB">
      <w:pPr>
        <w:ind w:firstLine="720"/>
        <w:rPr>
          <w:rFonts w:asciiTheme="minorHAnsi" w:hAnsiTheme="minorHAnsi"/>
        </w:rPr>
      </w:pPr>
      <w:r w:rsidRPr="00783EBB">
        <w:rPr>
          <w:rFonts w:asciiTheme="minorHAnsi" w:hAnsiTheme="minorHAnsi"/>
        </w:rPr>
        <w:t>Amoeba</w:t>
      </w:r>
      <w:r>
        <w:rPr>
          <w:rFonts w:asciiTheme="minorHAnsi" w:hAnsiTheme="minorHAnsi"/>
        </w:rPr>
        <w:tab/>
      </w:r>
      <w:r>
        <w:rPr>
          <w:rFonts w:asciiTheme="minorHAnsi" w:hAnsiTheme="minorHAnsi"/>
        </w:rPr>
        <w:tab/>
      </w:r>
      <w:r>
        <w:rPr>
          <w:rFonts w:asciiTheme="minorHAnsi" w:hAnsiTheme="minorHAnsi"/>
        </w:rPr>
        <w:tab/>
      </w:r>
      <w:r w:rsidRPr="00783EBB">
        <w:rPr>
          <w:rFonts w:asciiTheme="minorHAnsi" w:hAnsiTheme="minorHAnsi"/>
        </w:rPr>
        <w:t>Anthrax</w:t>
      </w:r>
      <w:r>
        <w:rPr>
          <w:rFonts w:asciiTheme="minorHAnsi" w:hAnsiTheme="minorHAnsi"/>
        </w:rPr>
        <w:tab/>
      </w:r>
      <w:r>
        <w:rPr>
          <w:rFonts w:asciiTheme="minorHAnsi" w:hAnsiTheme="minorHAnsi"/>
        </w:rPr>
        <w:tab/>
      </w:r>
      <w:r w:rsidRPr="00783EBB">
        <w:rPr>
          <w:rFonts w:asciiTheme="minorHAnsi" w:hAnsiTheme="minorHAnsi"/>
        </w:rPr>
        <w:t>Botulism</w:t>
      </w:r>
      <w:r>
        <w:rPr>
          <w:rFonts w:asciiTheme="minorHAnsi" w:hAnsiTheme="minorHAnsi"/>
        </w:rPr>
        <w:tab/>
      </w:r>
      <w:r>
        <w:rPr>
          <w:rFonts w:asciiTheme="minorHAnsi" w:hAnsiTheme="minorHAnsi"/>
        </w:rPr>
        <w:tab/>
      </w:r>
      <w:r>
        <w:rPr>
          <w:rFonts w:asciiTheme="minorHAnsi" w:hAnsiTheme="minorHAnsi"/>
        </w:rPr>
        <w:tab/>
      </w:r>
      <w:r w:rsidRPr="00783EBB">
        <w:rPr>
          <w:rFonts w:asciiTheme="minorHAnsi" w:hAnsiTheme="minorHAnsi"/>
        </w:rPr>
        <w:t>Hantavirus</w:t>
      </w:r>
      <w:r>
        <w:rPr>
          <w:rFonts w:asciiTheme="minorHAnsi" w:hAnsiTheme="minorHAnsi"/>
        </w:rPr>
        <w:tab/>
      </w:r>
      <w:r>
        <w:rPr>
          <w:rFonts w:asciiTheme="minorHAnsi" w:hAnsiTheme="minorHAnsi"/>
        </w:rPr>
        <w:tab/>
      </w:r>
      <w:r w:rsidR="00DA02FE">
        <w:rPr>
          <w:rFonts w:asciiTheme="minorHAnsi" w:hAnsiTheme="minorHAnsi"/>
        </w:rPr>
        <w:tab/>
        <w:t>Diphtheria</w:t>
      </w:r>
      <w:r w:rsidR="00DA02FE">
        <w:rPr>
          <w:rFonts w:asciiTheme="minorHAnsi" w:hAnsiTheme="minorHAnsi"/>
        </w:rPr>
        <w:tab/>
      </w:r>
      <w:r w:rsidR="00DA02FE">
        <w:rPr>
          <w:rFonts w:asciiTheme="minorHAnsi" w:hAnsiTheme="minorHAnsi"/>
        </w:rPr>
        <w:tab/>
      </w:r>
      <w:r w:rsidRPr="00783EBB">
        <w:rPr>
          <w:rFonts w:asciiTheme="minorHAnsi" w:hAnsiTheme="minorHAnsi"/>
        </w:rPr>
        <w:t xml:space="preserve">Measles - </w:t>
      </w:r>
      <w:proofErr w:type="spellStart"/>
      <w:r w:rsidRPr="00783EBB">
        <w:rPr>
          <w:rFonts w:asciiTheme="minorHAnsi" w:hAnsiTheme="minorHAnsi"/>
        </w:rPr>
        <w:t>IgM</w:t>
      </w:r>
      <w:proofErr w:type="spellEnd"/>
      <w:r w:rsidRPr="00783EBB">
        <w:rPr>
          <w:rFonts w:asciiTheme="minorHAnsi" w:hAnsiTheme="minorHAnsi"/>
        </w:rPr>
        <w:t xml:space="preserve"> and/or PCR</w:t>
      </w:r>
    </w:p>
    <w:p w:rsidR="00783EBB" w:rsidRDefault="00783EBB" w:rsidP="00783EBB">
      <w:pPr>
        <w:ind w:firstLine="720"/>
        <w:rPr>
          <w:rFonts w:asciiTheme="minorHAnsi" w:hAnsiTheme="minorHAnsi"/>
        </w:rPr>
      </w:pPr>
      <w:r w:rsidRPr="00783EBB">
        <w:rPr>
          <w:rFonts w:asciiTheme="minorHAnsi" w:hAnsiTheme="minorHAnsi"/>
        </w:rPr>
        <w:t xml:space="preserve">Mumps - </w:t>
      </w:r>
      <w:proofErr w:type="spellStart"/>
      <w:r w:rsidRPr="00783EBB">
        <w:rPr>
          <w:rFonts w:asciiTheme="minorHAnsi" w:hAnsiTheme="minorHAnsi"/>
        </w:rPr>
        <w:t>IgM</w:t>
      </w:r>
      <w:proofErr w:type="spellEnd"/>
      <w:r w:rsidRPr="00783EBB">
        <w:rPr>
          <w:rFonts w:asciiTheme="minorHAnsi" w:hAnsiTheme="minorHAnsi"/>
        </w:rPr>
        <w:t xml:space="preserve"> and/or PCR</w:t>
      </w:r>
      <w:r>
        <w:rPr>
          <w:rFonts w:asciiTheme="minorHAnsi" w:hAnsiTheme="minorHAnsi"/>
        </w:rPr>
        <w:tab/>
      </w:r>
      <w:r w:rsidRPr="00783EBB">
        <w:rPr>
          <w:rFonts w:asciiTheme="minorHAnsi" w:hAnsiTheme="minorHAnsi"/>
        </w:rPr>
        <w:t>Tularemia</w:t>
      </w:r>
      <w:r>
        <w:rPr>
          <w:rFonts w:asciiTheme="minorHAnsi" w:hAnsiTheme="minorHAnsi"/>
        </w:rPr>
        <w:tab/>
      </w:r>
      <w:r>
        <w:rPr>
          <w:rFonts w:asciiTheme="minorHAnsi" w:hAnsiTheme="minorHAnsi"/>
        </w:rPr>
        <w:tab/>
      </w:r>
      <w:r w:rsidRPr="00783EBB">
        <w:rPr>
          <w:rFonts w:asciiTheme="minorHAnsi" w:hAnsiTheme="minorHAnsi"/>
        </w:rPr>
        <w:t>Viral Hemorrhagic Fever</w:t>
      </w:r>
    </w:p>
    <w:p w:rsidR="00DA02FE" w:rsidRDefault="00783EBB" w:rsidP="00783EBB">
      <w:pPr>
        <w:ind w:firstLine="720"/>
        <w:rPr>
          <w:rFonts w:asciiTheme="minorHAnsi" w:hAnsiTheme="minorHAnsi"/>
        </w:rPr>
      </w:pPr>
      <w:proofErr w:type="spellStart"/>
      <w:r w:rsidRPr="00783EBB">
        <w:rPr>
          <w:rFonts w:asciiTheme="minorHAnsi" w:hAnsiTheme="minorHAnsi"/>
        </w:rPr>
        <w:t>Brucella</w:t>
      </w:r>
      <w:proofErr w:type="spellEnd"/>
      <w:r>
        <w:rPr>
          <w:rFonts w:asciiTheme="minorHAnsi" w:hAnsiTheme="minorHAnsi"/>
        </w:rPr>
        <w:tab/>
      </w:r>
      <w:r>
        <w:rPr>
          <w:rFonts w:asciiTheme="minorHAnsi" w:hAnsiTheme="minorHAnsi"/>
        </w:rPr>
        <w:tab/>
      </w:r>
      <w:r>
        <w:rPr>
          <w:rFonts w:asciiTheme="minorHAnsi" w:hAnsiTheme="minorHAnsi"/>
        </w:rPr>
        <w:tab/>
      </w:r>
      <w:r w:rsidRPr="00783EBB">
        <w:rPr>
          <w:rFonts w:asciiTheme="minorHAnsi" w:hAnsiTheme="minorHAnsi"/>
        </w:rPr>
        <w:t>Smallpox</w:t>
      </w:r>
      <w:r>
        <w:rPr>
          <w:rFonts w:asciiTheme="minorHAnsi" w:hAnsiTheme="minorHAnsi"/>
        </w:rPr>
        <w:tab/>
      </w:r>
      <w:r>
        <w:rPr>
          <w:rFonts w:asciiTheme="minorHAnsi" w:hAnsiTheme="minorHAnsi"/>
        </w:rPr>
        <w:tab/>
      </w:r>
      <w:proofErr w:type="spellStart"/>
      <w:r w:rsidRPr="00783EBB">
        <w:rPr>
          <w:rFonts w:asciiTheme="minorHAnsi" w:hAnsiTheme="minorHAnsi"/>
        </w:rPr>
        <w:t>Vaccinia</w:t>
      </w:r>
      <w:proofErr w:type="spellEnd"/>
    </w:p>
    <w:p w:rsidR="00783EBB" w:rsidRPr="00783EBB" w:rsidRDefault="00783EBB" w:rsidP="00783EBB">
      <w:pPr>
        <w:ind w:firstLine="720"/>
        <w:rPr>
          <w:rFonts w:asciiTheme="minorHAnsi" w:hAnsiTheme="minorHAnsi"/>
        </w:rPr>
      </w:pPr>
      <w:r w:rsidRPr="00783EBB">
        <w:rPr>
          <w:rFonts w:asciiTheme="minorHAnsi" w:hAnsiTheme="minorHAnsi"/>
        </w:rPr>
        <w:t>Yellow Fever</w:t>
      </w:r>
      <w:r>
        <w:rPr>
          <w:rFonts w:asciiTheme="minorHAnsi" w:hAnsiTheme="minorHAnsi"/>
        </w:rPr>
        <w:tab/>
      </w:r>
      <w:r>
        <w:rPr>
          <w:rFonts w:asciiTheme="minorHAnsi" w:hAnsiTheme="minorHAnsi"/>
        </w:rPr>
        <w:tab/>
      </w:r>
      <w:r w:rsidR="00DA02FE">
        <w:rPr>
          <w:rFonts w:asciiTheme="minorHAnsi" w:hAnsiTheme="minorHAnsi"/>
        </w:rPr>
        <w:tab/>
      </w:r>
      <w:proofErr w:type="spellStart"/>
      <w:r w:rsidRPr="00783EBB">
        <w:rPr>
          <w:rFonts w:asciiTheme="minorHAnsi" w:hAnsiTheme="minorHAnsi"/>
        </w:rPr>
        <w:t>Chikungunya</w:t>
      </w:r>
      <w:proofErr w:type="spellEnd"/>
      <w:r w:rsidRPr="00783EBB">
        <w:rPr>
          <w:rFonts w:asciiTheme="minorHAnsi" w:hAnsiTheme="minorHAnsi"/>
        </w:rPr>
        <w:t xml:space="preserve"> virus </w:t>
      </w:r>
    </w:p>
    <w:p w:rsidR="00783EBB" w:rsidRDefault="00783EBB" w:rsidP="00783EBB">
      <w:pPr>
        <w:rPr>
          <w:rFonts w:asciiTheme="minorHAnsi" w:hAnsiTheme="minorHAnsi"/>
        </w:rPr>
      </w:pPr>
    </w:p>
    <w:p w:rsidR="00DA02FE" w:rsidRDefault="00DA02FE" w:rsidP="00783EBB">
      <w:pPr>
        <w:rPr>
          <w:rFonts w:asciiTheme="minorHAnsi" w:hAnsiTheme="minorHAnsi"/>
        </w:rPr>
      </w:pPr>
      <w:r>
        <w:rPr>
          <w:rFonts w:asciiTheme="minorHAnsi" w:hAnsiTheme="minorHAnsi"/>
        </w:rPr>
        <w:t xml:space="preserve">Testing for </w:t>
      </w:r>
      <w:proofErr w:type="spellStart"/>
      <w:r>
        <w:rPr>
          <w:rFonts w:asciiTheme="minorHAnsi" w:hAnsiTheme="minorHAnsi"/>
        </w:rPr>
        <w:t>Arbovirus</w:t>
      </w:r>
      <w:proofErr w:type="spellEnd"/>
      <w:r>
        <w:rPr>
          <w:rFonts w:asciiTheme="minorHAnsi" w:hAnsiTheme="minorHAnsi"/>
        </w:rPr>
        <w:t xml:space="preserve"> does not require authorization.  However, a specific form, available on the UVA Medical Labs web-site, is required:</w:t>
      </w:r>
    </w:p>
    <w:p w:rsidR="00DA02FE" w:rsidRDefault="00DA02FE" w:rsidP="00783EBB">
      <w:pPr>
        <w:rPr>
          <w:rFonts w:asciiTheme="minorHAnsi" w:hAnsiTheme="minorHAnsi"/>
        </w:rPr>
      </w:pPr>
    </w:p>
    <w:p w:rsidR="00DA02FE" w:rsidRPr="00783EBB" w:rsidRDefault="00C27F73" w:rsidP="00783EBB">
      <w:pPr>
        <w:rPr>
          <w:rFonts w:asciiTheme="minorHAnsi" w:hAnsiTheme="minorHAnsi"/>
        </w:rPr>
      </w:pPr>
      <w:hyperlink r:id="rId4" w:history="1">
        <w:r w:rsidR="00DA02FE" w:rsidRPr="004A735F">
          <w:rPr>
            <w:rStyle w:val="Hyperlink"/>
            <w:rFonts w:asciiTheme="minorHAnsi" w:hAnsiTheme="minorHAnsi"/>
          </w:rPr>
          <w:t>http://www.healthsystem.virginia.edu/pub/medlabs/lab-handbook-test-directory/labgeneral/requisitions/state-lab-submission-forms</w:t>
        </w:r>
      </w:hyperlink>
      <w:r w:rsidR="00DA02FE">
        <w:rPr>
          <w:rFonts w:asciiTheme="minorHAnsi" w:hAnsiTheme="minorHAnsi"/>
        </w:rPr>
        <w:t xml:space="preserve"> </w:t>
      </w:r>
    </w:p>
    <w:sectPr w:rsidR="00DA02FE" w:rsidRPr="00783EBB" w:rsidSect="00DA02FE">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rawingGridHorizontalSpacing w:val="120"/>
  <w:displayHorizontalDrawingGridEvery w:val="2"/>
  <w:characterSpacingControl w:val="doNotCompress"/>
  <w:compat/>
  <w:rsids>
    <w:rsidRoot w:val="00961E59"/>
    <w:rsid w:val="000D52E4"/>
    <w:rsid w:val="001E3511"/>
    <w:rsid w:val="00234E1E"/>
    <w:rsid w:val="002F3C09"/>
    <w:rsid w:val="0040493A"/>
    <w:rsid w:val="00532F44"/>
    <w:rsid w:val="005815EE"/>
    <w:rsid w:val="007800DE"/>
    <w:rsid w:val="00783EBB"/>
    <w:rsid w:val="007F3A9C"/>
    <w:rsid w:val="008226DB"/>
    <w:rsid w:val="00861E7C"/>
    <w:rsid w:val="00894E55"/>
    <w:rsid w:val="008C6113"/>
    <w:rsid w:val="00961E59"/>
    <w:rsid w:val="00A03731"/>
    <w:rsid w:val="00AE1961"/>
    <w:rsid w:val="00C27F73"/>
    <w:rsid w:val="00C8194D"/>
    <w:rsid w:val="00DA02FE"/>
    <w:rsid w:val="00DD1F79"/>
    <w:rsid w:val="00FD08E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99"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234E1E"/>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99"/>
    <w:qFormat/>
    <w:rsid w:val="00FD08E0"/>
    <w:rPr>
      <w:rFonts w:eastAsia="MS Mincho"/>
      <w:sz w:val="24"/>
      <w:szCs w:val="24"/>
      <w:lang w:eastAsia="ja-JP"/>
    </w:rPr>
  </w:style>
  <w:style w:type="paragraph" w:styleId="BalloonText">
    <w:name w:val="Balloon Text"/>
    <w:basedOn w:val="Normal"/>
    <w:link w:val="BalloonTextChar"/>
    <w:rsid w:val="00FD08E0"/>
    <w:rPr>
      <w:rFonts w:ascii="Tahoma" w:hAnsi="Tahoma" w:cs="Tahoma"/>
      <w:sz w:val="16"/>
      <w:szCs w:val="16"/>
    </w:rPr>
  </w:style>
  <w:style w:type="character" w:customStyle="1" w:styleId="BalloonTextChar">
    <w:name w:val="Balloon Text Char"/>
    <w:basedOn w:val="DefaultParagraphFont"/>
    <w:link w:val="BalloonText"/>
    <w:rsid w:val="00FD08E0"/>
    <w:rPr>
      <w:rFonts w:ascii="Tahoma" w:hAnsi="Tahoma" w:cs="Tahoma"/>
      <w:sz w:val="16"/>
      <w:szCs w:val="16"/>
    </w:rPr>
  </w:style>
  <w:style w:type="character" w:styleId="Hyperlink">
    <w:name w:val="Hyperlink"/>
    <w:basedOn w:val="DefaultParagraphFont"/>
    <w:rsid w:val="00DA02FE"/>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2020543408">
      <w:bodyDiv w:val="1"/>
      <w:marLeft w:val="0"/>
      <w:marRight w:val="0"/>
      <w:marTop w:val="0"/>
      <w:marBottom w:val="0"/>
      <w:divBdr>
        <w:top w:val="none" w:sz="0" w:space="0" w:color="auto"/>
        <w:left w:val="none" w:sz="0" w:space="0" w:color="auto"/>
        <w:bottom w:val="none" w:sz="0" w:space="0" w:color="auto"/>
        <w:right w:val="none" w:sz="0" w:space="0" w:color="auto"/>
      </w:divBdr>
      <w:divsChild>
        <w:div w:id="460610796">
          <w:marLeft w:val="0"/>
          <w:marRight w:val="0"/>
          <w:marTop w:val="0"/>
          <w:marBottom w:val="0"/>
          <w:divBdr>
            <w:top w:val="none" w:sz="0" w:space="0" w:color="auto"/>
            <w:left w:val="none" w:sz="0" w:space="0" w:color="auto"/>
            <w:bottom w:val="none" w:sz="0" w:space="0" w:color="auto"/>
            <w:right w:val="none" w:sz="0" w:space="0" w:color="auto"/>
          </w:divBdr>
          <w:divsChild>
            <w:div w:id="399864556">
              <w:marLeft w:val="0"/>
              <w:marRight w:val="0"/>
              <w:marTop w:val="0"/>
              <w:marBottom w:val="0"/>
              <w:divBdr>
                <w:top w:val="none" w:sz="0" w:space="0" w:color="auto"/>
                <w:left w:val="none" w:sz="0" w:space="0" w:color="auto"/>
                <w:bottom w:val="none" w:sz="0" w:space="0" w:color="auto"/>
                <w:right w:val="none" w:sz="0" w:space="0" w:color="auto"/>
              </w:divBdr>
            </w:div>
            <w:div w:id="1821002219">
              <w:marLeft w:val="0"/>
              <w:marRight w:val="0"/>
              <w:marTop w:val="0"/>
              <w:marBottom w:val="0"/>
              <w:divBdr>
                <w:top w:val="none" w:sz="0" w:space="0" w:color="auto"/>
                <w:left w:val="none" w:sz="0" w:space="0" w:color="auto"/>
                <w:bottom w:val="none" w:sz="0" w:space="0" w:color="auto"/>
                <w:right w:val="none" w:sz="0" w:space="0" w:color="auto"/>
              </w:divBdr>
            </w:div>
            <w:div w:id="1762948898">
              <w:marLeft w:val="0"/>
              <w:marRight w:val="0"/>
              <w:marTop w:val="0"/>
              <w:marBottom w:val="0"/>
              <w:divBdr>
                <w:top w:val="none" w:sz="0" w:space="0" w:color="auto"/>
                <w:left w:val="none" w:sz="0" w:space="0" w:color="auto"/>
                <w:bottom w:val="none" w:sz="0" w:space="0" w:color="auto"/>
                <w:right w:val="none" w:sz="0" w:space="0" w:color="auto"/>
              </w:divBdr>
            </w:div>
            <w:div w:id="2079208222">
              <w:marLeft w:val="0"/>
              <w:marRight w:val="0"/>
              <w:marTop w:val="0"/>
              <w:marBottom w:val="0"/>
              <w:divBdr>
                <w:top w:val="none" w:sz="0" w:space="0" w:color="auto"/>
                <w:left w:val="none" w:sz="0" w:space="0" w:color="auto"/>
                <w:bottom w:val="none" w:sz="0" w:space="0" w:color="auto"/>
                <w:right w:val="none" w:sz="0" w:space="0" w:color="auto"/>
              </w:divBdr>
            </w:div>
            <w:div w:id="665207926">
              <w:marLeft w:val="0"/>
              <w:marRight w:val="0"/>
              <w:marTop w:val="0"/>
              <w:marBottom w:val="0"/>
              <w:divBdr>
                <w:top w:val="none" w:sz="0" w:space="0" w:color="auto"/>
                <w:left w:val="none" w:sz="0" w:space="0" w:color="auto"/>
                <w:bottom w:val="none" w:sz="0" w:space="0" w:color="auto"/>
                <w:right w:val="none" w:sz="0" w:space="0" w:color="auto"/>
              </w:divBdr>
            </w:div>
            <w:div w:id="1904289077">
              <w:marLeft w:val="0"/>
              <w:marRight w:val="0"/>
              <w:marTop w:val="0"/>
              <w:marBottom w:val="0"/>
              <w:divBdr>
                <w:top w:val="none" w:sz="0" w:space="0" w:color="auto"/>
                <w:left w:val="none" w:sz="0" w:space="0" w:color="auto"/>
                <w:bottom w:val="none" w:sz="0" w:space="0" w:color="auto"/>
                <w:right w:val="none" w:sz="0" w:space="0" w:color="auto"/>
              </w:divBdr>
            </w:div>
            <w:div w:id="124157476">
              <w:marLeft w:val="0"/>
              <w:marRight w:val="0"/>
              <w:marTop w:val="0"/>
              <w:marBottom w:val="0"/>
              <w:divBdr>
                <w:top w:val="none" w:sz="0" w:space="0" w:color="auto"/>
                <w:left w:val="none" w:sz="0" w:space="0" w:color="auto"/>
                <w:bottom w:val="none" w:sz="0" w:space="0" w:color="auto"/>
                <w:right w:val="none" w:sz="0" w:space="0" w:color="auto"/>
              </w:divBdr>
            </w:div>
            <w:div w:id="1797213700">
              <w:marLeft w:val="0"/>
              <w:marRight w:val="0"/>
              <w:marTop w:val="0"/>
              <w:marBottom w:val="0"/>
              <w:divBdr>
                <w:top w:val="none" w:sz="0" w:space="0" w:color="auto"/>
                <w:left w:val="none" w:sz="0" w:space="0" w:color="auto"/>
                <w:bottom w:val="none" w:sz="0" w:space="0" w:color="auto"/>
                <w:right w:val="none" w:sz="0" w:space="0" w:color="auto"/>
              </w:divBdr>
            </w:div>
            <w:div w:id="231742212">
              <w:marLeft w:val="0"/>
              <w:marRight w:val="0"/>
              <w:marTop w:val="0"/>
              <w:marBottom w:val="0"/>
              <w:divBdr>
                <w:top w:val="none" w:sz="0" w:space="0" w:color="auto"/>
                <w:left w:val="none" w:sz="0" w:space="0" w:color="auto"/>
                <w:bottom w:val="none" w:sz="0" w:space="0" w:color="auto"/>
                <w:right w:val="none" w:sz="0" w:space="0" w:color="auto"/>
              </w:divBdr>
            </w:div>
            <w:div w:id="1699087018">
              <w:marLeft w:val="0"/>
              <w:marRight w:val="0"/>
              <w:marTop w:val="0"/>
              <w:marBottom w:val="0"/>
              <w:divBdr>
                <w:top w:val="none" w:sz="0" w:space="0" w:color="auto"/>
                <w:left w:val="none" w:sz="0" w:space="0" w:color="auto"/>
                <w:bottom w:val="none" w:sz="0" w:space="0" w:color="auto"/>
                <w:right w:val="none" w:sz="0" w:space="0" w:color="auto"/>
              </w:divBdr>
            </w:div>
            <w:div w:id="1333678304">
              <w:marLeft w:val="0"/>
              <w:marRight w:val="0"/>
              <w:marTop w:val="0"/>
              <w:marBottom w:val="0"/>
              <w:divBdr>
                <w:top w:val="none" w:sz="0" w:space="0" w:color="auto"/>
                <w:left w:val="none" w:sz="0" w:space="0" w:color="auto"/>
                <w:bottom w:val="none" w:sz="0" w:space="0" w:color="auto"/>
                <w:right w:val="none" w:sz="0" w:space="0" w:color="auto"/>
              </w:divBdr>
            </w:div>
            <w:div w:id="1223952424">
              <w:marLeft w:val="0"/>
              <w:marRight w:val="0"/>
              <w:marTop w:val="0"/>
              <w:marBottom w:val="0"/>
              <w:divBdr>
                <w:top w:val="none" w:sz="0" w:space="0" w:color="auto"/>
                <w:left w:val="none" w:sz="0" w:space="0" w:color="auto"/>
                <w:bottom w:val="none" w:sz="0" w:space="0" w:color="auto"/>
                <w:right w:val="none" w:sz="0" w:space="0" w:color="auto"/>
              </w:divBdr>
            </w:div>
            <w:div w:id="1923293183">
              <w:marLeft w:val="0"/>
              <w:marRight w:val="0"/>
              <w:marTop w:val="0"/>
              <w:marBottom w:val="0"/>
              <w:divBdr>
                <w:top w:val="none" w:sz="0" w:space="0" w:color="auto"/>
                <w:left w:val="none" w:sz="0" w:space="0" w:color="auto"/>
                <w:bottom w:val="none" w:sz="0" w:space="0" w:color="auto"/>
                <w:right w:val="none" w:sz="0" w:space="0" w:color="auto"/>
              </w:divBdr>
            </w:div>
            <w:div w:id="82265046">
              <w:marLeft w:val="0"/>
              <w:marRight w:val="0"/>
              <w:marTop w:val="0"/>
              <w:marBottom w:val="0"/>
              <w:divBdr>
                <w:top w:val="none" w:sz="0" w:space="0" w:color="auto"/>
                <w:left w:val="none" w:sz="0" w:space="0" w:color="auto"/>
                <w:bottom w:val="none" w:sz="0" w:space="0" w:color="auto"/>
                <w:right w:val="none" w:sz="0" w:space="0" w:color="auto"/>
              </w:divBdr>
            </w:div>
            <w:div w:id="276719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microsoft.com/office/2007/relationships/stylesWithEffects" Target="stylesWithEffect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www.healthsystem.virginia.edu/pub/medlabs/lab-handbook-test-directory/labgeneral/requisitions/state-lab-submission-form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472</Words>
  <Characters>2695</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UVA Health System</Company>
  <LinksUpToDate>false</LinksUpToDate>
  <CharactersWithSpaces>3161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Bruns, David E *HS</dc:creator>
  <cp:lastModifiedBy>Dede Haverstick</cp:lastModifiedBy>
  <cp:revision>2</cp:revision>
  <cp:lastPrinted>2014-03-04T12:48:00Z</cp:lastPrinted>
  <dcterms:created xsi:type="dcterms:W3CDTF">2014-03-05T19:01:00Z</dcterms:created>
  <dcterms:modified xsi:type="dcterms:W3CDTF">2014-03-05T19:01:00Z</dcterms:modified>
</cp:coreProperties>
</file>