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200B" w:rsidRDefault="00A2200B" w:rsidP="00A2200B">
      <w:pPr>
        <w:pStyle w:val="NoSpacing"/>
        <w:ind w:firstLine="720"/>
        <w:jc w:val="center"/>
        <w:outlineLvl w:val="0"/>
        <w:rPr>
          <w:rFonts w:asciiTheme="minorHAnsi" w:hAnsiTheme="minorHAnsi"/>
          <w:sz w:val="28"/>
          <w:szCs w:val="28"/>
        </w:rPr>
      </w:pPr>
    </w:p>
    <w:p w:rsidR="00F53C11" w:rsidRPr="00FD08E0" w:rsidRDefault="00F53C11" w:rsidP="00A2200B">
      <w:pPr>
        <w:pStyle w:val="NoSpacing"/>
        <w:ind w:firstLine="720"/>
        <w:jc w:val="center"/>
        <w:outlineLvl w:val="0"/>
        <w:rPr>
          <w:rFonts w:asciiTheme="minorHAnsi" w:hAnsiTheme="minorHAnsi"/>
          <w:sz w:val="28"/>
          <w:szCs w:val="28"/>
        </w:rPr>
      </w:pPr>
      <w:bookmarkStart w:id="0" w:name="_GoBack"/>
      <w:bookmarkEnd w:id="0"/>
      <w:r w:rsidRPr="008226DB">
        <w:rPr>
          <w:rFonts w:asciiTheme="minorHAnsi" w:hAnsiTheme="minorHAnsi"/>
          <w:sz w:val="28"/>
          <w:szCs w:val="28"/>
        </w:rPr>
        <w:t>University of Virginia Health System</w:t>
      </w:r>
    </w:p>
    <w:p w:rsidR="00F53C11" w:rsidRPr="00FD08E0" w:rsidRDefault="00F53C11" w:rsidP="00F53C11">
      <w:pPr>
        <w:pStyle w:val="NoSpacing"/>
        <w:jc w:val="center"/>
        <w:outlineLvl w:val="0"/>
        <w:rPr>
          <w:rFonts w:asciiTheme="minorHAnsi" w:hAnsiTheme="minorHAnsi"/>
          <w:b/>
          <w:snapToGrid w:val="0"/>
          <w:sz w:val="28"/>
          <w:szCs w:val="28"/>
        </w:rPr>
      </w:pPr>
      <w:r w:rsidRPr="008226DB">
        <w:rPr>
          <w:rFonts w:asciiTheme="minorHAnsi" w:hAnsiTheme="minorHAnsi"/>
          <w:b/>
          <w:snapToGrid w:val="0"/>
          <w:sz w:val="28"/>
          <w:szCs w:val="28"/>
        </w:rPr>
        <w:t>Medical Laboratories</w:t>
      </w:r>
    </w:p>
    <w:p w:rsidR="00F53C11" w:rsidRPr="00FD08E0" w:rsidRDefault="00F53C11" w:rsidP="00F53C11">
      <w:pPr>
        <w:pStyle w:val="NoSpacing"/>
        <w:jc w:val="center"/>
        <w:outlineLvl w:val="0"/>
        <w:rPr>
          <w:rFonts w:asciiTheme="minorHAnsi" w:hAnsiTheme="minorHAnsi"/>
          <w:b/>
          <w:i/>
          <w:snapToGrid w:val="0"/>
          <w:sz w:val="28"/>
          <w:szCs w:val="28"/>
        </w:rPr>
      </w:pPr>
      <w:r w:rsidRPr="008226DB">
        <w:rPr>
          <w:rFonts w:asciiTheme="minorHAnsi" w:hAnsiTheme="minorHAnsi"/>
          <w:b/>
          <w:i/>
          <w:snapToGrid w:val="0"/>
          <w:sz w:val="28"/>
          <w:szCs w:val="28"/>
        </w:rPr>
        <w:t>“Quality You Expect, Service You Deserve”</w:t>
      </w:r>
    </w:p>
    <w:p w:rsidR="00F53C11" w:rsidRPr="00FD08E0" w:rsidRDefault="00F53C11" w:rsidP="00F53C11">
      <w:pPr>
        <w:pStyle w:val="NoSpacing"/>
        <w:jc w:val="center"/>
        <w:rPr>
          <w:rFonts w:asciiTheme="minorHAnsi" w:hAnsiTheme="minorHAnsi"/>
          <w:b/>
          <w:i/>
          <w:snapToGrid w:val="0"/>
        </w:rPr>
      </w:pPr>
    </w:p>
    <w:p w:rsidR="00F53C11" w:rsidRDefault="00F53C11" w:rsidP="00F53C11">
      <w:pPr>
        <w:keepNext/>
        <w:widowControl w:val="0"/>
        <w:jc w:val="center"/>
        <w:outlineLvl w:val="0"/>
        <w:rPr>
          <w:b/>
          <w:i/>
          <w:snapToGrid w:val="0"/>
          <w:sz w:val="28"/>
          <w:szCs w:val="28"/>
          <w:u w:val="single"/>
        </w:rPr>
      </w:pPr>
      <w:r w:rsidRPr="008226DB">
        <w:rPr>
          <w:b/>
          <w:i/>
          <w:snapToGrid w:val="0"/>
          <w:sz w:val="28"/>
          <w:szCs w:val="28"/>
          <w:u w:val="single"/>
        </w:rPr>
        <w:t>LABORATORY MEDICINE UPDATE</w:t>
      </w:r>
    </w:p>
    <w:p w:rsidR="00F53C11" w:rsidRDefault="00F53C11" w:rsidP="00F53C11">
      <w:pPr>
        <w:jc w:val="center"/>
        <w:rPr>
          <w:snapToGrid w:val="0"/>
          <w:sz w:val="28"/>
          <w:szCs w:val="28"/>
          <w:u w:val="single"/>
        </w:rPr>
      </w:pPr>
      <w:r>
        <w:rPr>
          <w:snapToGrid w:val="0"/>
          <w:sz w:val="28"/>
          <w:szCs w:val="28"/>
          <w:u w:val="single"/>
        </w:rPr>
        <w:t>July 9, 2014</w:t>
      </w:r>
    </w:p>
    <w:p w:rsidR="006814AE" w:rsidRDefault="00CA2CE9" w:rsidP="00CA2CE9">
      <w:pPr>
        <w:jc w:val="center"/>
        <w:rPr>
          <w:b/>
        </w:rPr>
      </w:pPr>
      <w:r>
        <w:rPr>
          <w:b/>
        </w:rPr>
        <w:t>New Celiac Screening Panel</w:t>
      </w:r>
      <w:r w:rsidR="00286E98">
        <w:rPr>
          <w:b/>
        </w:rPr>
        <w:t>s</w:t>
      </w:r>
    </w:p>
    <w:p w:rsidR="00CA2CE9" w:rsidRDefault="00CA2CE9" w:rsidP="00F53C11">
      <w:pPr>
        <w:spacing w:line="240" w:lineRule="auto"/>
      </w:pPr>
      <w:r>
        <w:t>The Medical Laboratory has validated new assay</w:t>
      </w:r>
      <w:r w:rsidR="00286E98">
        <w:t>s</w:t>
      </w:r>
      <w:r>
        <w:t xml:space="preserve"> and </w:t>
      </w:r>
      <w:r w:rsidR="00286E98">
        <w:t xml:space="preserve">an </w:t>
      </w:r>
      <w:r>
        <w:t>algorithm for screening and monitoring individuals for Celiac</w:t>
      </w:r>
      <w:r w:rsidR="00D7566E">
        <w:t xml:space="preserve"> Disease</w:t>
      </w:r>
      <w:r w:rsidR="00A20DB1">
        <w:t xml:space="preserve"> (gluten-sensitive enteropathy)</w:t>
      </w:r>
      <w:r>
        <w:t xml:space="preserve"> that includes both tissue transglutaminase and deaminated gliadin</w:t>
      </w:r>
      <w:r w:rsidR="00A20DB1">
        <w:t xml:space="preserve"> peptide</w:t>
      </w:r>
      <w:r>
        <w:t xml:space="preserve">.  The two new panels available for ordering in EPIC are:  Celiac IgA Screen and Celiac IgG Screen.  The recommendation is to </w:t>
      </w:r>
      <w:r w:rsidR="00A20DB1">
        <w:t>begin with</w:t>
      </w:r>
      <w:r>
        <w:t xml:space="preserve"> the Celiac IgA Screen</w:t>
      </w:r>
      <w:r w:rsidR="00A20DB1">
        <w:t xml:space="preserve"> that will provide results for tissue transglutaminase IgA </w:t>
      </w:r>
      <w:r w:rsidR="00FA58B8">
        <w:t xml:space="preserve">(TTG IgA) </w:t>
      </w:r>
      <w:r w:rsidR="00A20DB1">
        <w:t>and deaminated gliadin peptide IgA</w:t>
      </w:r>
      <w:r w:rsidR="00FA58B8">
        <w:t xml:space="preserve"> (DGP IgA)</w:t>
      </w:r>
      <w:r w:rsidR="00A20DB1">
        <w:t>.  This screen panel will also detect patients who have a total IgA</w:t>
      </w:r>
      <w:r w:rsidR="00FA58B8">
        <w:t xml:space="preserve"> concentration </w:t>
      </w:r>
      <w:proofErr w:type="gramStart"/>
      <w:r w:rsidR="00FA58B8">
        <w:t xml:space="preserve">of </w:t>
      </w:r>
      <w:r w:rsidR="00A20DB1">
        <w:t xml:space="preserve"> </w:t>
      </w:r>
      <w:r w:rsidR="00A20DB1" w:rsidRPr="00286E98">
        <w:rPr>
          <w:u w:val="single"/>
        </w:rPr>
        <w:t>&lt;</w:t>
      </w:r>
      <w:proofErr w:type="gramEnd"/>
      <w:r w:rsidR="00A20DB1">
        <w:t xml:space="preserve">7 mg/dL, which will result in an automatic reflex to the Celiac IgG Screen.  </w:t>
      </w:r>
      <w:r w:rsidR="00D7566E">
        <w:t>The</w:t>
      </w:r>
      <w:r w:rsidR="009D2E22">
        <w:t>se</w:t>
      </w:r>
      <w:r w:rsidR="00D7566E">
        <w:t xml:space="preserve"> assay</w:t>
      </w:r>
      <w:r w:rsidR="009D2E22">
        <w:t>s</w:t>
      </w:r>
      <w:r w:rsidR="00D7566E">
        <w:t xml:space="preserve"> will be available Monday thru Friday and the turn-around time is three days (current TAT is 7 days).  </w:t>
      </w:r>
      <w:r w:rsidR="009D2E22">
        <w:t>The chart below outlines the result range and cutoff for each analyte.</w:t>
      </w:r>
    </w:p>
    <w:tbl>
      <w:tblPr>
        <w:tblStyle w:val="TableGrid"/>
        <w:tblW w:w="0" w:type="auto"/>
        <w:tblLook w:val="04A0" w:firstRow="1" w:lastRow="0" w:firstColumn="1" w:lastColumn="0" w:noHBand="0" w:noVBand="1"/>
      </w:tblPr>
      <w:tblGrid>
        <w:gridCol w:w="2394"/>
        <w:gridCol w:w="2664"/>
        <w:gridCol w:w="2124"/>
        <w:gridCol w:w="2394"/>
      </w:tblGrid>
      <w:tr w:rsidR="00286E98" w:rsidTr="00286E98">
        <w:tc>
          <w:tcPr>
            <w:tcW w:w="2394" w:type="dxa"/>
          </w:tcPr>
          <w:p w:rsidR="00286E98" w:rsidRPr="00286E98" w:rsidRDefault="00286E98" w:rsidP="00286E98">
            <w:pPr>
              <w:jc w:val="center"/>
              <w:rPr>
                <w:b/>
              </w:rPr>
            </w:pPr>
            <w:r>
              <w:rPr>
                <w:b/>
              </w:rPr>
              <w:t>Analyte</w:t>
            </w:r>
          </w:p>
        </w:tc>
        <w:tc>
          <w:tcPr>
            <w:tcW w:w="2664" w:type="dxa"/>
          </w:tcPr>
          <w:p w:rsidR="00286E98" w:rsidRPr="00286E98" w:rsidRDefault="00286E98" w:rsidP="00286E98">
            <w:pPr>
              <w:jc w:val="center"/>
              <w:rPr>
                <w:b/>
              </w:rPr>
            </w:pPr>
            <w:r>
              <w:rPr>
                <w:b/>
              </w:rPr>
              <w:t>Reporting Range (U/mL)</w:t>
            </w:r>
          </w:p>
        </w:tc>
        <w:tc>
          <w:tcPr>
            <w:tcW w:w="2124" w:type="dxa"/>
          </w:tcPr>
          <w:p w:rsidR="00286E98" w:rsidRPr="00286E98" w:rsidRDefault="00286E98" w:rsidP="00286E98">
            <w:pPr>
              <w:jc w:val="center"/>
              <w:rPr>
                <w:b/>
              </w:rPr>
            </w:pPr>
            <w:r>
              <w:rPr>
                <w:b/>
              </w:rPr>
              <w:t>Negative (U/mL)</w:t>
            </w:r>
          </w:p>
        </w:tc>
        <w:tc>
          <w:tcPr>
            <w:tcW w:w="2394" w:type="dxa"/>
          </w:tcPr>
          <w:p w:rsidR="00286E98" w:rsidRPr="00286E98" w:rsidRDefault="00286E98" w:rsidP="00286E98">
            <w:pPr>
              <w:jc w:val="center"/>
              <w:rPr>
                <w:b/>
              </w:rPr>
            </w:pPr>
            <w:r>
              <w:rPr>
                <w:b/>
              </w:rPr>
              <w:t>Positive (U/mL)</w:t>
            </w:r>
          </w:p>
        </w:tc>
      </w:tr>
      <w:tr w:rsidR="00286E98" w:rsidTr="00286E98">
        <w:tc>
          <w:tcPr>
            <w:tcW w:w="2394" w:type="dxa"/>
          </w:tcPr>
          <w:p w:rsidR="00286E98" w:rsidRDefault="00286E98" w:rsidP="00CA2CE9">
            <w:r>
              <w:t>TTG IgA</w:t>
            </w:r>
          </w:p>
        </w:tc>
        <w:tc>
          <w:tcPr>
            <w:tcW w:w="2664" w:type="dxa"/>
          </w:tcPr>
          <w:p w:rsidR="00286E98" w:rsidRDefault="00286E98" w:rsidP="00286E98">
            <w:pPr>
              <w:jc w:val="center"/>
            </w:pPr>
            <w:r>
              <w:t>0.5 to 2500</w:t>
            </w:r>
          </w:p>
        </w:tc>
        <w:tc>
          <w:tcPr>
            <w:tcW w:w="2124" w:type="dxa"/>
          </w:tcPr>
          <w:p w:rsidR="00286E98" w:rsidRDefault="00D7566E" w:rsidP="00D7566E">
            <w:pPr>
              <w:jc w:val="center"/>
            </w:pPr>
            <w:r>
              <w:t>&lt;15.0</w:t>
            </w:r>
          </w:p>
        </w:tc>
        <w:tc>
          <w:tcPr>
            <w:tcW w:w="2394" w:type="dxa"/>
          </w:tcPr>
          <w:p w:rsidR="00286E98" w:rsidRPr="00D7566E" w:rsidRDefault="00D7566E" w:rsidP="00D7566E">
            <w:pPr>
              <w:jc w:val="center"/>
            </w:pPr>
            <w:r>
              <w:rPr>
                <w:u w:val="single"/>
              </w:rPr>
              <w:t>&gt;</w:t>
            </w:r>
            <w:r>
              <w:t>15.0</w:t>
            </w:r>
          </w:p>
        </w:tc>
      </w:tr>
      <w:tr w:rsidR="00286E98" w:rsidTr="00286E98">
        <w:tc>
          <w:tcPr>
            <w:tcW w:w="2394" w:type="dxa"/>
          </w:tcPr>
          <w:p w:rsidR="00286E98" w:rsidRDefault="00286E98" w:rsidP="00CA2CE9">
            <w:r>
              <w:t>DGP IgA</w:t>
            </w:r>
          </w:p>
        </w:tc>
        <w:tc>
          <w:tcPr>
            <w:tcW w:w="2664" w:type="dxa"/>
          </w:tcPr>
          <w:p w:rsidR="00286E98" w:rsidRDefault="00286E98" w:rsidP="00286E98">
            <w:pPr>
              <w:jc w:val="center"/>
            </w:pPr>
            <w:r>
              <w:t>0.2 to 2500</w:t>
            </w:r>
          </w:p>
        </w:tc>
        <w:tc>
          <w:tcPr>
            <w:tcW w:w="2124" w:type="dxa"/>
          </w:tcPr>
          <w:p w:rsidR="00286E98" w:rsidRDefault="00D7566E" w:rsidP="00D7566E">
            <w:pPr>
              <w:jc w:val="center"/>
            </w:pPr>
            <w:r>
              <w:t>&lt;15.0</w:t>
            </w:r>
          </w:p>
        </w:tc>
        <w:tc>
          <w:tcPr>
            <w:tcW w:w="2394" w:type="dxa"/>
          </w:tcPr>
          <w:p w:rsidR="00286E98" w:rsidRPr="00D7566E" w:rsidRDefault="00D7566E" w:rsidP="00D7566E">
            <w:pPr>
              <w:jc w:val="center"/>
            </w:pPr>
            <w:r>
              <w:rPr>
                <w:u w:val="single"/>
              </w:rPr>
              <w:t>&gt;</w:t>
            </w:r>
            <w:r>
              <w:t>15.0</w:t>
            </w:r>
          </w:p>
        </w:tc>
      </w:tr>
      <w:tr w:rsidR="00286E98" w:rsidTr="00286E98">
        <w:tc>
          <w:tcPr>
            <w:tcW w:w="2394" w:type="dxa"/>
          </w:tcPr>
          <w:p w:rsidR="00286E98" w:rsidRDefault="00286E98" w:rsidP="00CA2CE9">
            <w:r>
              <w:t>TTG IgG</w:t>
            </w:r>
          </w:p>
        </w:tc>
        <w:tc>
          <w:tcPr>
            <w:tcW w:w="2664" w:type="dxa"/>
          </w:tcPr>
          <w:p w:rsidR="00286E98" w:rsidRDefault="00D7566E" w:rsidP="00286E98">
            <w:pPr>
              <w:jc w:val="center"/>
            </w:pPr>
            <w:r>
              <w:t>0.8 to 2500</w:t>
            </w:r>
          </w:p>
        </w:tc>
        <w:tc>
          <w:tcPr>
            <w:tcW w:w="2124" w:type="dxa"/>
          </w:tcPr>
          <w:p w:rsidR="00286E98" w:rsidRDefault="00D7566E" w:rsidP="00D7566E">
            <w:pPr>
              <w:jc w:val="center"/>
            </w:pPr>
            <w:r>
              <w:t>&lt;15.0</w:t>
            </w:r>
          </w:p>
        </w:tc>
        <w:tc>
          <w:tcPr>
            <w:tcW w:w="2394" w:type="dxa"/>
          </w:tcPr>
          <w:p w:rsidR="00286E98" w:rsidRPr="00D7566E" w:rsidRDefault="00D7566E" w:rsidP="00D7566E">
            <w:pPr>
              <w:jc w:val="center"/>
            </w:pPr>
            <w:r>
              <w:rPr>
                <w:u w:val="single"/>
              </w:rPr>
              <w:t>&gt;</w:t>
            </w:r>
            <w:r>
              <w:t>15.0</w:t>
            </w:r>
          </w:p>
        </w:tc>
      </w:tr>
      <w:tr w:rsidR="00286E98" w:rsidTr="00286E98">
        <w:tc>
          <w:tcPr>
            <w:tcW w:w="2394" w:type="dxa"/>
          </w:tcPr>
          <w:p w:rsidR="00286E98" w:rsidRDefault="00286E98" w:rsidP="00CA2CE9">
            <w:r>
              <w:t>DGP IgG</w:t>
            </w:r>
          </w:p>
        </w:tc>
        <w:tc>
          <w:tcPr>
            <w:tcW w:w="2664" w:type="dxa"/>
          </w:tcPr>
          <w:p w:rsidR="00286E98" w:rsidRDefault="00D7566E" w:rsidP="00D7566E">
            <w:pPr>
              <w:jc w:val="center"/>
            </w:pPr>
            <w:r>
              <w:t>0.4 to 2500</w:t>
            </w:r>
          </w:p>
        </w:tc>
        <w:tc>
          <w:tcPr>
            <w:tcW w:w="2124" w:type="dxa"/>
          </w:tcPr>
          <w:p w:rsidR="00286E98" w:rsidRDefault="00D7566E" w:rsidP="00D7566E">
            <w:pPr>
              <w:jc w:val="center"/>
            </w:pPr>
            <w:r>
              <w:t>&lt;15.0</w:t>
            </w:r>
          </w:p>
        </w:tc>
        <w:tc>
          <w:tcPr>
            <w:tcW w:w="2394" w:type="dxa"/>
          </w:tcPr>
          <w:p w:rsidR="00286E98" w:rsidRPr="00D7566E" w:rsidRDefault="00D7566E" w:rsidP="00D7566E">
            <w:pPr>
              <w:jc w:val="center"/>
            </w:pPr>
            <w:r>
              <w:rPr>
                <w:u w:val="single"/>
              </w:rPr>
              <w:t>&gt;</w:t>
            </w:r>
            <w:r>
              <w:t>15.0</w:t>
            </w:r>
          </w:p>
        </w:tc>
      </w:tr>
    </w:tbl>
    <w:p w:rsidR="00286E98" w:rsidRDefault="00286E98" w:rsidP="00CA2CE9"/>
    <w:p w:rsidR="00D7566E" w:rsidRDefault="00D7566E" w:rsidP="00D7566E">
      <w:pPr>
        <w:jc w:val="center"/>
      </w:pPr>
      <w:r>
        <w:rPr>
          <w:b/>
        </w:rPr>
        <w:t>New Anti-Phospholipid Syndrome Screening Panels</w:t>
      </w:r>
    </w:p>
    <w:p w:rsidR="00D7566E" w:rsidRDefault="00D7566E" w:rsidP="00F53C11">
      <w:pPr>
        <w:spacing w:line="240" w:lineRule="auto"/>
      </w:pPr>
      <w:r>
        <w:t xml:space="preserve">The Medical Laboratory has validated new assays for </w:t>
      </w:r>
      <w:r w:rsidR="00DB3F68">
        <w:t>Anti-Phospholipid Syndrome</w:t>
      </w:r>
      <w:r w:rsidR="009D2E22">
        <w:t xml:space="preserve"> (APS) to aid in the diagnosis of primary APS as well as those secondary to systemic lupus erythematosus (SLE) or SLE-like disorders.  The two new panels available for ordering in EPIC are:  Phospholipid IgG Screen and Phospholipid IgM Screen.  The new screen assays provide results for anti-cardiolipin </w:t>
      </w:r>
      <w:r w:rsidR="00FA58B8">
        <w:t xml:space="preserve">(ACL) </w:t>
      </w:r>
      <w:r w:rsidR="009D2E22">
        <w:t xml:space="preserve">and beta-2 glycoprotein I </w:t>
      </w:r>
      <w:r w:rsidR="00FA58B8">
        <w:t xml:space="preserve">(B2GP) </w:t>
      </w:r>
      <w:r w:rsidR="009D2E22">
        <w:t>for the respective antibody class.  These assays will be available Monday through Friday and the turn-around time is three days (current TAT is 7 days).  The chart below outlines the result range and cutoff for each analyte.</w:t>
      </w:r>
    </w:p>
    <w:tbl>
      <w:tblPr>
        <w:tblStyle w:val="TableGrid"/>
        <w:tblW w:w="0" w:type="auto"/>
        <w:tblLook w:val="04A0" w:firstRow="1" w:lastRow="0" w:firstColumn="1" w:lastColumn="0" w:noHBand="0" w:noVBand="1"/>
      </w:tblPr>
      <w:tblGrid>
        <w:gridCol w:w="2394"/>
        <w:gridCol w:w="2394"/>
        <w:gridCol w:w="2394"/>
        <w:gridCol w:w="2394"/>
      </w:tblGrid>
      <w:tr w:rsidR="009D2E22" w:rsidTr="009D2E22">
        <w:tc>
          <w:tcPr>
            <w:tcW w:w="2394" w:type="dxa"/>
          </w:tcPr>
          <w:p w:rsidR="009D2E22" w:rsidRPr="009D2E22" w:rsidRDefault="009D2E22" w:rsidP="009D2E22">
            <w:pPr>
              <w:jc w:val="center"/>
              <w:rPr>
                <w:b/>
              </w:rPr>
            </w:pPr>
            <w:r>
              <w:rPr>
                <w:b/>
              </w:rPr>
              <w:t>Analyte</w:t>
            </w:r>
          </w:p>
        </w:tc>
        <w:tc>
          <w:tcPr>
            <w:tcW w:w="2394" w:type="dxa"/>
          </w:tcPr>
          <w:p w:rsidR="009D2E22" w:rsidRPr="009D2E22" w:rsidRDefault="009D2E22" w:rsidP="009D2E22">
            <w:pPr>
              <w:jc w:val="center"/>
              <w:rPr>
                <w:b/>
              </w:rPr>
            </w:pPr>
            <w:r>
              <w:rPr>
                <w:b/>
              </w:rPr>
              <w:t>Reporting Range</w:t>
            </w:r>
          </w:p>
        </w:tc>
        <w:tc>
          <w:tcPr>
            <w:tcW w:w="2394" w:type="dxa"/>
          </w:tcPr>
          <w:p w:rsidR="009D2E22" w:rsidRPr="00D20F66" w:rsidRDefault="00D20F66" w:rsidP="00D20F66">
            <w:pPr>
              <w:jc w:val="center"/>
              <w:rPr>
                <w:b/>
              </w:rPr>
            </w:pPr>
            <w:r>
              <w:rPr>
                <w:b/>
              </w:rPr>
              <w:t>Negative</w:t>
            </w:r>
          </w:p>
        </w:tc>
        <w:tc>
          <w:tcPr>
            <w:tcW w:w="2394" w:type="dxa"/>
          </w:tcPr>
          <w:p w:rsidR="009D2E22" w:rsidRPr="00D20F66" w:rsidRDefault="00D20F66" w:rsidP="00D20F66">
            <w:pPr>
              <w:jc w:val="center"/>
              <w:rPr>
                <w:b/>
              </w:rPr>
            </w:pPr>
            <w:r>
              <w:rPr>
                <w:b/>
              </w:rPr>
              <w:t>Positive</w:t>
            </w:r>
          </w:p>
        </w:tc>
      </w:tr>
      <w:tr w:rsidR="009D2E22" w:rsidTr="009D2E22">
        <w:tc>
          <w:tcPr>
            <w:tcW w:w="2394" w:type="dxa"/>
          </w:tcPr>
          <w:p w:rsidR="009D2E22" w:rsidRDefault="00D20F66" w:rsidP="00D7566E">
            <w:r>
              <w:t>ACL IgG</w:t>
            </w:r>
          </w:p>
        </w:tc>
        <w:tc>
          <w:tcPr>
            <w:tcW w:w="2394" w:type="dxa"/>
          </w:tcPr>
          <w:p w:rsidR="009D2E22" w:rsidRDefault="00D20F66" w:rsidP="00D20F66">
            <w:pPr>
              <w:jc w:val="center"/>
            </w:pPr>
            <w:r>
              <w:t>1.6 to 112 GPL-U/mL</w:t>
            </w:r>
          </w:p>
        </w:tc>
        <w:tc>
          <w:tcPr>
            <w:tcW w:w="2394" w:type="dxa"/>
          </w:tcPr>
          <w:p w:rsidR="009D2E22" w:rsidRDefault="00D20F66" w:rsidP="00D20F66">
            <w:pPr>
              <w:jc w:val="center"/>
            </w:pPr>
            <w:r>
              <w:t>&lt;20</w:t>
            </w:r>
          </w:p>
        </w:tc>
        <w:tc>
          <w:tcPr>
            <w:tcW w:w="2394" w:type="dxa"/>
          </w:tcPr>
          <w:p w:rsidR="009D2E22" w:rsidRPr="007A0460" w:rsidRDefault="007A0460" w:rsidP="007A0460">
            <w:pPr>
              <w:pStyle w:val="ListParagraph"/>
              <w:jc w:val="both"/>
            </w:pPr>
            <w:r>
              <w:t xml:space="preserve">   </w:t>
            </w:r>
            <w:r>
              <w:rPr>
                <w:u w:val="single"/>
              </w:rPr>
              <w:t>&gt;</w:t>
            </w:r>
            <w:r>
              <w:t>20</w:t>
            </w:r>
          </w:p>
        </w:tc>
      </w:tr>
      <w:tr w:rsidR="009D2E22" w:rsidTr="009D2E22">
        <w:tc>
          <w:tcPr>
            <w:tcW w:w="2394" w:type="dxa"/>
          </w:tcPr>
          <w:p w:rsidR="009D2E22" w:rsidRDefault="00D20F66" w:rsidP="00D7566E">
            <w:r>
              <w:t>B2GP IgG</w:t>
            </w:r>
          </w:p>
        </w:tc>
        <w:tc>
          <w:tcPr>
            <w:tcW w:w="2394" w:type="dxa"/>
          </w:tcPr>
          <w:p w:rsidR="009D2E22" w:rsidRDefault="00D20F66" w:rsidP="00D20F66">
            <w:pPr>
              <w:jc w:val="center"/>
            </w:pPr>
            <w:r>
              <w:t>1.4  to 112 U/mL</w:t>
            </w:r>
          </w:p>
        </w:tc>
        <w:tc>
          <w:tcPr>
            <w:tcW w:w="2394" w:type="dxa"/>
          </w:tcPr>
          <w:p w:rsidR="009D2E22" w:rsidRDefault="00D20F66" w:rsidP="00D20F66">
            <w:pPr>
              <w:jc w:val="center"/>
            </w:pPr>
            <w:r>
              <w:t>&lt;20</w:t>
            </w:r>
          </w:p>
        </w:tc>
        <w:tc>
          <w:tcPr>
            <w:tcW w:w="2394" w:type="dxa"/>
          </w:tcPr>
          <w:p w:rsidR="009D2E22" w:rsidRPr="007A0460" w:rsidRDefault="007A0460" w:rsidP="007A0460">
            <w:pPr>
              <w:jc w:val="center"/>
            </w:pPr>
            <w:r>
              <w:rPr>
                <w:u w:val="single"/>
              </w:rPr>
              <w:t>&gt;</w:t>
            </w:r>
            <w:r>
              <w:t>20</w:t>
            </w:r>
          </w:p>
        </w:tc>
      </w:tr>
      <w:tr w:rsidR="009D2E22" w:rsidTr="009D2E22">
        <w:tc>
          <w:tcPr>
            <w:tcW w:w="2394" w:type="dxa"/>
          </w:tcPr>
          <w:p w:rsidR="009D2E22" w:rsidRDefault="00D20F66" w:rsidP="00D7566E">
            <w:r>
              <w:t>ACL IgM</w:t>
            </w:r>
          </w:p>
        </w:tc>
        <w:tc>
          <w:tcPr>
            <w:tcW w:w="2394" w:type="dxa"/>
          </w:tcPr>
          <w:p w:rsidR="009D2E22" w:rsidRDefault="007A0460" w:rsidP="007A0460">
            <w:pPr>
              <w:jc w:val="center"/>
            </w:pPr>
            <w:r>
              <w:t>0.2 to 112 MPL-U/mL</w:t>
            </w:r>
          </w:p>
        </w:tc>
        <w:tc>
          <w:tcPr>
            <w:tcW w:w="2394" w:type="dxa"/>
          </w:tcPr>
          <w:p w:rsidR="009D2E22" w:rsidRDefault="007A0460" w:rsidP="007A0460">
            <w:pPr>
              <w:jc w:val="center"/>
            </w:pPr>
            <w:r>
              <w:t>&lt;20</w:t>
            </w:r>
          </w:p>
        </w:tc>
        <w:tc>
          <w:tcPr>
            <w:tcW w:w="2394" w:type="dxa"/>
          </w:tcPr>
          <w:p w:rsidR="009D2E22" w:rsidRPr="007A0460" w:rsidRDefault="007A0460" w:rsidP="007A0460">
            <w:pPr>
              <w:jc w:val="center"/>
            </w:pPr>
            <w:r>
              <w:rPr>
                <w:u w:val="single"/>
              </w:rPr>
              <w:t>&gt;</w:t>
            </w:r>
            <w:r>
              <w:t>20</w:t>
            </w:r>
          </w:p>
        </w:tc>
      </w:tr>
      <w:tr w:rsidR="009D2E22" w:rsidTr="009D2E22">
        <w:tc>
          <w:tcPr>
            <w:tcW w:w="2394" w:type="dxa"/>
          </w:tcPr>
          <w:p w:rsidR="009D2E22" w:rsidRDefault="00D20F66" w:rsidP="00D7566E">
            <w:r>
              <w:t>B2GP IgM</w:t>
            </w:r>
          </w:p>
        </w:tc>
        <w:tc>
          <w:tcPr>
            <w:tcW w:w="2394" w:type="dxa"/>
          </w:tcPr>
          <w:p w:rsidR="009D2E22" w:rsidRDefault="007A0460" w:rsidP="007A0460">
            <w:pPr>
              <w:jc w:val="center"/>
            </w:pPr>
            <w:r>
              <w:t>0.2 to 112 U/mL</w:t>
            </w:r>
          </w:p>
        </w:tc>
        <w:tc>
          <w:tcPr>
            <w:tcW w:w="2394" w:type="dxa"/>
          </w:tcPr>
          <w:p w:rsidR="009D2E22" w:rsidRDefault="007A0460" w:rsidP="007A0460">
            <w:pPr>
              <w:jc w:val="center"/>
            </w:pPr>
            <w:r>
              <w:t>&lt;20</w:t>
            </w:r>
          </w:p>
        </w:tc>
        <w:tc>
          <w:tcPr>
            <w:tcW w:w="2394" w:type="dxa"/>
          </w:tcPr>
          <w:p w:rsidR="009D2E22" w:rsidRPr="007A0460" w:rsidRDefault="007A0460" w:rsidP="007A0460">
            <w:pPr>
              <w:jc w:val="center"/>
            </w:pPr>
            <w:r>
              <w:rPr>
                <w:u w:val="single"/>
              </w:rPr>
              <w:t>&gt;</w:t>
            </w:r>
            <w:r>
              <w:t>20</w:t>
            </w:r>
          </w:p>
        </w:tc>
      </w:tr>
    </w:tbl>
    <w:p w:rsidR="009D2E22" w:rsidRDefault="009D2E22" w:rsidP="00D7566E"/>
    <w:p w:rsidR="00F53C11" w:rsidRDefault="00F53C11">
      <w:pPr>
        <w:rPr>
          <w:b/>
        </w:rPr>
      </w:pPr>
      <w:r>
        <w:rPr>
          <w:b/>
        </w:rPr>
        <w:br w:type="page"/>
      </w:r>
    </w:p>
    <w:p w:rsidR="00F53C11" w:rsidRDefault="00F53C11" w:rsidP="00F53C11">
      <w:pPr>
        <w:jc w:val="center"/>
      </w:pPr>
      <w:r>
        <w:rPr>
          <w:b/>
        </w:rPr>
        <w:lastRenderedPageBreak/>
        <w:t>Cessation of T-3 Uptake (Resin Uptake, Thyroid Hormone Uptake) Testing</w:t>
      </w:r>
    </w:p>
    <w:p w:rsidR="00B55503" w:rsidRDefault="00F53C11" w:rsidP="00F53C11">
      <w:pPr>
        <w:spacing w:line="240" w:lineRule="auto"/>
      </w:pPr>
      <w:r>
        <w:t xml:space="preserve">As announced earlier by the Laboratory Utilization Subcommittee, Medical Laboratories stopped offering the Resin Uptake test (also known as Thyroid Hormone Uptake, T3RU or T3 resin uptake) effective July 1, 2014.  This test, used in conjunction with the Total T4 assay, was used to estimate the free thyroid hormone component in the circulation.  In recent years, the assays for Free T4 and Free T3 have markedly improved and hence the Resin Uptake test is no longer needed to measure a patient’s circulating thyroid hormone levels.  </w:t>
      </w:r>
    </w:p>
    <w:p w:rsidR="00F53C11" w:rsidRDefault="00F53C11" w:rsidP="00F53C11">
      <w:pPr>
        <w:spacing w:line="240" w:lineRule="auto"/>
      </w:pPr>
      <w:r>
        <w:t>The Division of Clinical Chemistry would like to reemphasize the availability of TSH reflexive testing.  As stated in a recent guideline, “</w:t>
      </w:r>
      <w:r w:rsidRPr="00DB24E4">
        <w:t>A serum thyrotropin</w:t>
      </w:r>
      <w:r>
        <w:t xml:space="preserve"> [TSH, thyroid stimulating hormone]</w:t>
      </w:r>
      <w:r w:rsidRPr="00DB24E4">
        <w:t xml:space="preserve"> is the single best screening test for primary thyroid dysfunction for the vast majority of outpatient clinical situations</w:t>
      </w:r>
      <w:r>
        <w:t xml:space="preserve"> (1).</w:t>
      </w:r>
      <w:r w:rsidR="00B55503">
        <w:t>”</w:t>
      </w:r>
      <w:r>
        <w:t xml:space="preserve">  With TSH reflexive testing, when a TSH value falls outside of the range </w:t>
      </w:r>
      <w:proofErr w:type="gramStart"/>
      <w:r>
        <w:t xml:space="preserve">0.45 to 4.5 </w:t>
      </w:r>
      <w:proofErr w:type="spellStart"/>
      <w:r>
        <w:t>mIU</w:t>
      </w:r>
      <w:proofErr w:type="spellEnd"/>
      <w:r>
        <w:t>/L,</w:t>
      </w:r>
      <w:proofErr w:type="gramEnd"/>
      <w:r>
        <w:t xml:space="preserve"> then a free-T4 (free thyroxine) assay is performed automatically.  The University of Virginia Medical Laboratories offers this reflex algorithm (“TSH Reflexive”) in all ordering systems (Epic and Atlas).  Please contact the Clinical Chemistry attending (pic 1657) or resident (pic 1267) on-call with any questions.</w:t>
      </w:r>
    </w:p>
    <w:p w:rsidR="00F53C11" w:rsidRDefault="00F53C11" w:rsidP="00F53C11">
      <w:pPr>
        <w:pStyle w:val="ListParagraph"/>
        <w:numPr>
          <w:ilvl w:val="0"/>
          <w:numId w:val="2"/>
        </w:numPr>
        <w:spacing w:line="240" w:lineRule="auto"/>
      </w:pPr>
      <w:r w:rsidRPr="005F7836">
        <w:t xml:space="preserve">Garber JR, et al; American Association of Clinical Endocrinologists and American Thyroid Association Taskforce on Hypothyroidism in Adults. Clinical practice guidelines for hypothyroidism in adults: cosponsored by the American Association of Clinical Endocrinologists and the American Thyroid Association. </w:t>
      </w:r>
      <w:proofErr w:type="spellStart"/>
      <w:r w:rsidRPr="005F7836">
        <w:t>Endocr</w:t>
      </w:r>
      <w:proofErr w:type="spellEnd"/>
      <w:r w:rsidRPr="005F7836">
        <w:t xml:space="preserve"> </w:t>
      </w:r>
      <w:proofErr w:type="spellStart"/>
      <w:r w:rsidRPr="005F7836">
        <w:t>Pract</w:t>
      </w:r>
      <w:proofErr w:type="spellEnd"/>
      <w:r w:rsidRPr="005F7836">
        <w:t>. 2012</w:t>
      </w:r>
      <w:proofErr w:type="gramStart"/>
      <w:r w:rsidRPr="005F7836">
        <w:t>;18:988</w:t>
      </w:r>
      <w:proofErr w:type="gramEnd"/>
      <w:r w:rsidRPr="005F7836">
        <w:t>-1028.</w:t>
      </w:r>
    </w:p>
    <w:p w:rsidR="00F53C11" w:rsidRPr="00F53C11" w:rsidRDefault="00F53C11" w:rsidP="00F53C11"/>
    <w:sectPr w:rsidR="00F53C11" w:rsidRPr="00F53C11" w:rsidSect="0044390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5A7D80"/>
    <w:multiLevelType w:val="hybridMultilevel"/>
    <w:tmpl w:val="893667E0"/>
    <w:lvl w:ilvl="0" w:tplc="09380B30">
      <w:start w:val="1"/>
      <w:numFmt w:val="bullet"/>
      <w:lvlText w:val=""/>
      <w:lvlJc w:val="left"/>
      <w:pPr>
        <w:ind w:left="720" w:hanging="360"/>
      </w:pPr>
      <w:rPr>
        <w:rFonts w:ascii="Wingdings" w:eastAsiaTheme="minorHAnsi" w:hAnsi="Wingdings" w:cstheme="minorBidi" w:hint="default"/>
        <w:u w:val="singl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80B74A2"/>
    <w:multiLevelType w:val="hybridMultilevel"/>
    <w:tmpl w:val="F0E2BA1A"/>
    <w:lvl w:ilvl="0" w:tplc="29FC04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2CE9"/>
    <w:rsid w:val="00286E98"/>
    <w:rsid w:val="00443902"/>
    <w:rsid w:val="00535510"/>
    <w:rsid w:val="006814AE"/>
    <w:rsid w:val="007A0460"/>
    <w:rsid w:val="007D7FDB"/>
    <w:rsid w:val="009D2E22"/>
    <w:rsid w:val="00A20DB1"/>
    <w:rsid w:val="00A2200B"/>
    <w:rsid w:val="00AE6AEE"/>
    <w:rsid w:val="00B53B6E"/>
    <w:rsid w:val="00B55503"/>
    <w:rsid w:val="00CA2CE9"/>
    <w:rsid w:val="00D20F66"/>
    <w:rsid w:val="00D7566E"/>
    <w:rsid w:val="00DB3F68"/>
    <w:rsid w:val="00F53C11"/>
    <w:rsid w:val="00FA58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86E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D20F66"/>
    <w:pPr>
      <w:ind w:left="720"/>
      <w:contextualSpacing/>
    </w:pPr>
  </w:style>
  <w:style w:type="paragraph" w:styleId="NoSpacing">
    <w:name w:val="No Spacing"/>
    <w:uiPriority w:val="99"/>
    <w:qFormat/>
    <w:rsid w:val="00F53C11"/>
    <w:pPr>
      <w:spacing w:after="0" w:line="240" w:lineRule="auto"/>
    </w:pPr>
    <w:rPr>
      <w:rFonts w:ascii="Times New Roman" w:eastAsia="MS Mincho" w:hAnsi="Times New Roman" w:cs="Times New Roman"/>
      <w:sz w:val="24"/>
      <w:szCs w:val="24"/>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86E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D20F66"/>
    <w:pPr>
      <w:ind w:left="720"/>
      <w:contextualSpacing/>
    </w:pPr>
  </w:style>
  <w:style w:type="paragraph" w:styleId="NoSpacing">
    <w:name w:val="No Spacing"/>
    <w:uiPriority w:val="99"/>
    <w:qFormat/>
    <w:rsid w:val="00F53C11"/>
    <w:pPr>
      <w:spacing w:after="0" w:line="240" w:lineRule="auto"/>
    </w:pPr>
    <w:rPr>
      <w:rFonts w:ascii="Times New Roman" w:eastAsia="MS Mincho" w:hAnsi="Times New Roman" w:cs="Times New Roman"/>
      <w:sz w:val="24"/>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0E9FC4-B4BE-4054-B8A2-8BD1B5C8C0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563</Words>
  <Characters>3214</Characters>
  <Application>Microsoft Office Word</Application>
  <DocSecurity>4</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3770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Oliveira, Walter *HS</dc:creator>
  <cp:lastModifiedBy>Smith, JD *HS</cp:lastModifiedBy>
  <cp:revision>2</cp:revision>
  <cp:lastPrinted>2014-07-09T19:04:00Z</cp:lastPrinted>
  <dcterms:created xsi:type="dcterms:W3CDTF">2014-07-09T19:50:00Z</dcterms:created>
  <dcterms:modified xsi:type="dcterms:W3CDTF">2014-07-09T19:50:00Z</dcterms:modified>
</cp:coreProperties>
</file>