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0738" w:rsidRPr="0043707F" w:rsidRDefault="009A0738" w:rsidP="001958A3">
      <w:pPr>
        <w:pStyle w:val="NoSpacing"/>
        <w:jc w:val="center"/>
        <w:outlineLvl w:val="0"/>
        <w:rPr>
          <w:rFonts w:ascii="Calibri" w:hAnsi="Calibri"/>
          <w:sz w:val="28"/>
          <w:szCs w:val="28"/>
        </w:rPr>
      </w:pPr>
      <w:r w:rsidRPr="0043707F">
        <w:rPr>
          <w:rFonts w:ascii="Calibri" w:hAnsi="Calibri"/>
          <w:sz w:val="28"/>
          <w:szCs w:val="28"/>
        </w:rPr>
        <w:t>University of Virginia Health System</w:t>
      </w:r>
    </w:p>
    <w:p w:rsidR="009A0738" w:rsidRPr="0043707F" w:rsidRDefault="009A0738" w:rsidP="001958A3">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9A0738" w:rsidRPr="0043707F" w:rsidRDefault="009A0738" w:rsidP="001958A3">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9A0738" w:rsidRPr="0043707F" w:rsidRDefault="009A0738" w:rsidP="001958A3">
      <w:pPr>
        <w:pStyle w:val="NoSpacing"/>
        <w:jc w:val="center"/>
        <w:rPr>
          <w:rFonts w:ascii="Calibri" w:hAnsi="Calibri"/>
          <w:b/>
          <w:i/>
          <w:snapToGrid w:val="0"/>
        </w:rPr>
      </w:pPr>
    </w:p>
    <w:p w:rsidR="009A0738" w:rsidRPr="0043707F" w:rsidRDefault="009A0738" w:rsidP="001958A3">
      <w:pPr>
        <w:keepNext/>
        <w:widowControl w:val="0"/>
        <w:jc w:val="center"/>
        <w:outlineLvl w:val="0"/>
        <w:rPr>
          <w:b/>
          <w:i/>
          <w:snapToGrid w:val="0"/>
          <w:sz w:val="28"/>
          <w:szCs w:val="28"/>
          <w:u w:val="single"/>
        </w:rPr>
      </w:pPr>
      <w:r w:rsidRPr="0043707F">
        <w:rPr>
          <w:b/>
          <w:i/>
          <w:snapToGrid w:val="0"/>
          <w:sz w:val="28"/>
          <w:szCs w:val="28"/>
          <w:u w:val="single"/>
        </w:rPr>
        <w:t>LABORATORY MEDICINE UPDATE</w:t>
      </w:r>
    </w:p>
    <w:p w:rsidR="009A0738" w:rsidRPr="0043707F" w:rsidRDefault="009A0738" w:rsidP="001958A3">
      <w:pPr>
        <w:jc w:val="center"/>
        <w:rPr>
          <w:snapToGrid w:val="0"/>
          <w:sz w:val="28"/>
          <w:szCs w:val="28"/>
          <w:u w:val="single"/>
        </w:rPr>
      </w:pPr>
      <w:r w:rsidRPr="0043707F">
        <w:rPr>
          <w:snapToGrid w:val="0"/>
          <w:sz w:val="28"/>
          <w:szCs w:val="28"/>
          <w:u w:val="single"/>
        </w:rPr>
        <w:t>January 27, 2014</w:t>
      </w:r>
    </w:p>
    <w:p w:rsidR="009A0738" w:rsidRPr="001958A3" w:rsidRDefault="009A0738" w:rsidP="004A3C58">
      <w:pPr>
        <w:jc w:val="center"/>
        <w:rPr>
          <w:b/>
          <w:sz w:val="24"/>
          <w:szCs w:val="24"/>
        </w:rPr>
      </w:pPr>
      <w:r w:rsidRPr="001958A3">
        <w:rPr>
          <w:b/>
          <w:sz w:val="24"/>
          <w:szCs w:val="24"/>
        </w:rPr>
        <w:t>CA 125 and CA 15-3 Method Changes</w:t>
      </w:r>
    </w:p>
    <w:p w:rsidR="009A0738" w:rsidRPr="001958A3" w:rsidRDefault="009A0738" w:rsidP="00AB2057">
      <w:pPr>
        <w:rPr>
          <w:sz w:val="24"/>
          <w:szCs w:val="24"/>
        </w:rPr>
      </w:pPr>
      <w:r w:rsidRPr="001958A3">
        <w:rPr>
          <w:sz w:val="24"/>
          <w:szCs w:val="24"/>
        </w:rPr>
        <w:t>Beginning January 27, 2014, the assay platform for analyses of CA125 and CA 15-3 will change.  Because assay values obtained with different methods cannot be used interchangeably</w:t>
      </w:r>
      <w:r w:rsidRPr="00927306">
        <w:t xml:space="preserve"> </w:t>
      </w:r>
      <w:r>
        <w:t xml:space="preserve"> </w:t>
      </w:r>
      <w:r w:rsidRPr="00927306">
        <w:rPr>
          <w:sz w:val="24"/>
          <w:szCs w:val="24"/>
        </w:rPr>
        <w:t xml:space="preserve">for these analytes </w:t>
      </w:r>
      <w:r w:rsidRPr="001958A3">
        <w:rPr>
          <w:sz w:val="24"/>
          <w:szCs w:val="24"/>
          <w:vertAlign w:val="superscript"/>
        </w:rPr>
        <w:t>1</w:t>
      </w:r>
      <w:r w:rsidRPr="001958A3">
        <w:rPr>
          <w:sz w:val="24"/>
          <w:szCs w:val="24"/>
        </w:rPr>
        <w:t>, results will be reported from both the new platform (Abbott Architect) and the old platform (Immulite 2000)</w:t>
      </w:r>
      <w:r w:rsidRPr="00927306">
        <w:t xml:space="preserve"> </w:t>
      </w:r>
      <w:r w:rsidRPr="00927306">
        <w:rPr>
          <w:sz w:val="24"/>
          <w:szCs w:val="24"/>
        </w:rPr>
        <w:t>for three months (February through April),</w:t>
      </w:r>
      <w:r w:rsidRPr="001958A3">
        <w:rPr>
          <w:sz w:val="24"/>
          <w:szCs w:val="24"/>
        </w:rPr>
        <w:t xml:space="preserve">.  This is intended to allow clinicians to establish a baseline with the new assay for individual patients. </w:t>
      </w:r>
    </w:p>
    <w:p w:rsidR="009A0738" w:rsidRPr="001958A3" w:rsidRDefault="009A0738" w:rsidP="000F57CC">
      <w:pPr>
        <w:rPr>
          <w:sz w:val="24"/>
          <w:szCs w:val="24"/>
        </w:rPr>
      </w:pPr>
      <w:r w:rsidRPr="001958A3">
        <w:rPr>
          <w:sz w:val="24"/>
          <w:szCs w:val="24"/>
        </w:rPr>
        <w:t xml:space="preserve">Based on the evaluation data, results for CA 125 can be expected to be 75% higher, on average, with the new assay.  CA 15-3 results can be expected to be approximately 15% lower with the new assay.  Individual patients will show lesser or greater changes.  </w:t>
      </w:r>
    </w:p>
    <w:p w:rsidR="009A0738" w:rsidRDefault="009A0738" w:rsidP="001958A3">
      <w:pPr>
        <w:pStyle w:val="ListParagraph"/>
        <w:numPr>
          <w:ilvl w:val="0"/>
          <w:numId w:val="2"/>
        </w:numPr>
      </w:pPr>
      <w:r>
        <w:t>Sokoll LJ, Rai AJ, Chan DW. Tumor Markers. In:</w:t>
      </w:r>
      <w:r w:rsidRPr="00276538">
        <w:t xml:space="preserve"> Burtis CA, Ashwood EA, Bruns DE. Tietz Textbook of Clinical Chemistry and Molecular Diagnostics. 5th Ed. St. Louis: Saunders/Elsevier, 2012.</w:t>
      </w:r>
    </w:p>
    <w:p w:rsidR="009A0738" w:rsidRPr="00AB2057" w:rsidRDefault="009A0738" w:rsidP="00AB2057">
      <w:pPr>
        <w:spacing w:after="0"/>
        <w:jc w:val="center"/>
        <w:rPr>
          <w:sz w:val="18"/>
          <w:szCs w:val="18"/>
        </w:rPr>
      </w:pPr>
    </w:p>
    <w:p w:rsidR="009A0738" w:rsidRPr="00880BB8" w:rsidRDefault="009A0738" w:rsidP="001958A3">
      <w:pPr>
        <w:jc w:val="center"/>
        <w:rPr>
          <w:sz w:val="24"/>
          <w:szCs w:val="24"/>
        </w:rPr>
      </w:pPr>
      <w:r w:rsidRPr="00880BB8">
        <w:rPr>
          <w:b/>
          <w:sz w:val="24"/>
          <w:szCs w:val="24"/>
        </w:rPr>
        <w:t>New Confirmation Test for HIV1/2</w:t>
      </w:r>
    </w:p>
    <w:p w:rsidR="009A0738" w:rsidRDefault="009A0738" w:rsidP="001958A3">
      <w:pPr>
        <w:rPr>
          <w:sz w:val="24"/>
          <w:szCs w:val="24"/>
        </w:rPr>
      </w:pPr>
      <w:r w:rsidRPr="00880BB8">
        <w:rPr>
          <w:sz w:val="24"/>
          <w:szCs w:val="24"/>
        </w:rPr>
        <w:t>UVA Medical Labs has changed from HIV Western Blot for confirmation of HIV1/2 antibody screen positive samples to the BioRad MultiSp</w:t>
      </w:r>
      <w:r>
        <w:rPr>
          <w:sz w:val="24"/>
          <w:szCs w:val="24"/>
        </w:rPr>
        <w:t>o</w:t>
      </w:r>
      <w:r w:rsidRPr="00880BB8">
        <w:rPr>
          <w:sz w:val="24"/>
          <w:szCs w:val="24"/>
        </w:rPr>
        <w:t>t test</w:t>
      </w:r>
      <w:r>
        <w:rPr>
          <w:sz w:val="24"/>
          <w:szCs w:val="24"/>
        </w:rPr>
        <w:t xml:space="preserve"> to meet new CDC guidelines.  The MultiS</w:t>
      </w:r>
      <w:r w:rsidRPr="00880BB8">
        <w:rPr>
          <w:sz w:val="24"/>
          <w:szCs w:val="24"/>
        </w:rPr>
        <w:t xml:space="preserve">pot has superior sensitivity for detecting early HIV infection compared to the Western Blot.  In addition, the test will </w:t>
      </w:r>
      <w:r>
        <w:rPr>
          <w:sz w:val="24"/>
          <w:szCs w:val="24"/>
        </w:rPr>
        <w:t>test</w:t>
      </w:r>
      <w:r w:rsidRPr="00880BB8">
        <w:rPr>
          <w:sz w:val="24"/>
          <w:szCs w:val="24"/>
        </w:rPr>
        <w:t xml:space="preserve"> for both HIV-1 and HIV-2 reactivity.  The test will generally be performed within 24 hours of the initial positive screening result.  For questions, please contact the Director of Clinical Microbiology (pic 1221) or the Director of Clinical Chemistry (pic 1657).</w:t>
      </w:r>
    </w:p>
    <w:p w:rsidR="009A0738" w:rsidRPr="00EB7673" w:rsidRDefault="009A0738" w:rsidP="00EB7673">
      <w:pPr>
        <w:spacing w:after="0"/>
        <w:rPr>
          <w:sz w:val="16"/>
          <w:szCs w:val="16"/>
        </w:rPr>
      </w:pPr>
    </w:p>
    <w:p w:rsidR="009A0738" w:rsidRPr="00EB7673" w:rsidRDefault="009A0738" w:rsidP="00EB7673">
      <w:pPr>
        <w:jc w:val="center"/>
        <w:rPr>
          <w:b/>
          <w:sz w:val="24"/>
          <w:szCs w:val="24"/>
        </w:rPr>
      </w:pPr>
      <w:r w:rsidRPr="00EB7673">
        <w:rPr>
          <w:b/>
          <w:sz w:val="24"/>
          <w:szCs w:val="24"/>
        </w:rPr>
        <w:t>Changes in ordering patterns for virology cultures</w:t>
      </w:r>
    </w:p>
    <w:p w:rsidR="009A0738" w:rsidRDefault="009A0738" w:rsidP="00EB7673">
      <w:pPr>
        <w:spacing w:after="0"/>
        <w:rPr>
          <w:sz w:val="24"/>
          <w:szCs w:val="24"/>
        </w:rPr>
      </w:pPr>
      <w:r w:rsidRPr="00EB7673">
        <w:rPr>
          <w:sz w:val="24"/>
          <w:szCs w:val="24"/>
        </w:rPr>
        <w:t xml:space="preserve">Effective February 3, 2014, </w:t>
      </w:r>
      <w:r>
        <w:rPr>
          <w:sz w:val="24"/>
          <w:szCs w:val="24"/>
        </w:rPr>
        <w:t xml:space="preserve">requests for </w:t>
      </w:r>
      <w:r w:rsidRPr="00EB7673">
        <w:rPr>
          <w:sz w:val="24"/>
          <w:szCs w:val="24"/>
        </w:rPr>
        <w:t>CMV culture will no longer include HSV and Adenovirus.  Each viral culture must be ordered separately</w:t>
      </w:r>
      <w:r>
        <w:rPr>
          <w:sz w:val="24"/>
          <w:szCs w:val="24"/>
        </w:rPr>
        <w:t xml:space="preserve"> and new t</w:t>
      </w:r>
      <w:r w:rsidRPr="00EB7673">
        <w:rPr>
          <w:sz w:val="24"/>
          <w:szCs w:val="24"/>
        </w:rPr>
        <w:t xml:space="preserve">est codes have been created for HSV and Adenovirus.  Please search using the virus name in Epic.  </w:t>
      </w:r>
    </w:p>
    <w:p w:rsidR="009A0738" w:rsidRDefault="009A0738" w:rsidP="00EB7673">
      <w:pPr>
        <w:spacing w:after="0"/>
        <w:rPr>
          <w:sz w:val="24"/>
          <w:szCs w:val="24"/>
        </w:rPr>
      </w:pPr>
    </w:p>
    <w:p w:rsidR="009A0738" w:rsidRDefault="009A0738" w:rsidP="00EB7673">
      <w:pPr>
        <w:spacing w:after="0"/>
        <w:rPr>
          <w:sz w:val="24"/>
          <w:szCs w:val="24"/>
        </w:rPr>
      </w:pPr>
      <w:r w:rsidRPr="00EB7673">
        <w:rPr>
          <w:sz w:val="24"/>
          <w:szCs w:val="24"/>
        </w:rPr>
        <w:t>Th</w:t>
      </w:r>
      <w:r>
        <w:rPr>
          <w:sz w:val="24"/>
          <w:szCs w:val="24"/>
        </w:rPr>
        <w:t>e</w:t>
      </w:r>
      <w:r w:rsidRPr="00EB7673">
        <w:rPr>
          <w:sz w:val="24"/>
          <w:szCs w:val="24"/>
        </w:rPr>
        <w:t xml:space="preserve"> change is due to the availability of new culture technolog</w:t>
      </w:r>
      <w:r>
        <w:rPr>
          <w:sz w:val="24"/>
          <w:szCs w:val="24"/>
        </w:rPr>
        <w:t>y in the Clinical Microbiology L</w:t>
      </w:r>
      <w:r w:rsidRPr="00EB7673">
        <w:rPr>
          <w:sz w:val="24"/>
          <w:szCs w:val="24"/>
        </w:rPr>
        <w:t>aboratory, allowing for rapid identification of viral targets in culture.  The Respiratory Virus Panel by PCR (RVP PCR) remains the test of choice for respiratory specimens when identification of multiple respiratory viruses is desired.  If HSV, CMV and Adenovirus culture are needed in addition, please order EACH Virus separately.  Enterovirus may also be ordered as a separate culture on appropriate specimen types.  Please conta</w:t>
      </w:r>
      <w:r>
        <w:rPr>
          <w:sz w:val="24"/>
          <w:szCs w:val="24"/>
        </w:rPr>
        <w:t>ct the Microbiology Director on-c</w:t>
      </w:r>
      <w:r w:rsidRPr="00EB7673">
        <w:rPr>
          <w:sz w:val="24"/>
          <w:szCs w:val="24"/>
        </w:rPr>
        <w:t xml:space="preserve">all at </w:t>
      </w:r>
      <w:r>
        <w:rPr>
          <w:sz w:val="24"/>
          <w:szCs w:val="24"/>
        </w:rPr>
        <w:t>pic</w:t>
      </w:r>
      <w:r w:rsidRPr="00EB7673">
        <w:rPr>
          <w:sz w:val="24"/>
          <w:szCs w:val="24"/>
        </w:rPr>
        <w:t xml:space="preserve"> 1221 with questions regarding this change. </w:t>
      </w:r>
    </w:p>
    <w:p w:rsidR="009A0738" w:rsidRPr="00EB7673" w:rsidRDefault="009A0738" w:rsidP="00EB7673">
      <w:pPr>
        <w:spacing w:after="0"/>
        <w:rPr>
          <w:sz w:val="24"/>
          <w:szCs w:val="24"/>
        </w:rPr>
      </w:pPr>
    </w:p>
    <w:p w:rsidR="009A0738" w:rsidRDefault="009A0738" w:rsidP="00AB2057">
      <w:pPr>
        <w:jc w:val="center"/>
        <w:rPr>
          <w:sz w:val="24"/>
          <w:szCs w:val="24"/>
        </w:rPr>
      </w:pPr>
      <w:r>
        <w:rPr>
          <w:b/>
          <w:sz w:val="24"/>
          <w:szCs w:val="24"/>
        </w:rPr>
        <w:t>Changes to Testosterone Reference Intervals</w:t>
      </w:r>
    </w:p>
    <w:p w:rsidR="009A0738" w:rsidRDefault="009A0738" w:rsidP="00AB2057">
      <w:pPr>
        <w:rPr>
          <w:sz w:val="24"/>
          <w:szCs w:val="24"/>
        </w:rPr>
      </w:pPr>
      <w:r>
        <w:rPr>
          <w:sz w:val="24"/>
          <w:szCs w:val="24"/>
        </w:rPr>
        <w:t>In early January 2014, the method for measurement of testosterone was changed from the Immulite 2000 assay to the Abbott Architect second-generation assay.  The new assay shows improved performance compared with the Immulite assay (and with first-generation assays)</w:t>
      </w:r>
      <w:r w:rsidRPr="00FC4CFD">
        <w:rPr>
          <w:sz w:val="24"/>
          <w:szCs w:val="24"/>
          <w:vertAlign w:val="superscript"/>
        </w:rPr>
        <w:t>1</w:t>
      </w:r>
      <w:r>
        <w:rPr>
          <w:sz w:val="24"/>
          <w:szCs w:val="24"/>
        </w:rPr>
        <w:t xml:space="preserve">. </w:t>
      </w:r>
    </w:p>
    <w:p w:rsidR="009A0738" w:rsidRDefault="009A0738" w:rsidP="00AB2057">
      <w:pPr>
        <w:rPr>
          <w:sz w:val="24"/>
          <w:szCs w:val="24"/>
        </w:rPr>
      </w:pPr>
      <w:r>
        <w:rPr>
          <w:sz w:val="24"/>
          <w:szCs w:val="24"/>
        </w:rPr>
        <w:t>The reference intervals for the second-generation Architect assay are the following:</w:t>
      </w: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80"/>
        <w:gridCol w:w="1980"/>
        <w:gridCol w:w="1980"/>
        <w:gridCol w:w="1980"/>
      </w:tblGrid>
      <w:tr w:rsidR="009A0738" w:rsidRPr="00F33B4B" w:rsidTr="00F33B4B">
        <w:tc>
          <w:tcPr>
            <w:tcW w:w="3960" w:type="dxa"/>
            <w:gridSpan w:val="2"/>
          </w:tcPr>
          <w:p w:rsidR="009A0738" w:rsidRPr="00F33B4B" w:rsidRDefault="009A0738" w:rsidP="00F33B4B">
            <w:pPr>
              <w:spacing w:after="0"/>
              <w:jc w:val="center"/>
              <w:rPr>
                <w:sz w:val="24"/>
                <w:szCs w:val="24"/>
              </w:rPr>
            </w:pPr>
            <w:r w:rsidRPr="00F33B4B">
              <w:rPr>
                <w:sz w:val="24"/>
                <w:szCs w:val="24"/>
              </w:rPr>
              <w:t>Males</w:t>
            </w:r>
          </w:p>
        </w:tc>
        <w:tc>
          <w:tcPr>
            <w:tcW w:w="3960" w:type="dxa"/>
            <w:gridSpan w:val="2"/>
          </w:tcPr>
          <w:p w:rsidR="009A0738" w:rsidRPr="00F33B4B" w:rsidRDefault="009A0738" w:rsidP="00F33B4B">
            <w:pPr>
              <w:spacing w:after="0"/>
              <w:jc w:val="center"/>
              <w:rPr>
                <w:sz w:val="24"/>
                <w:szCs w:val="24"/>
              </w:rPr>
            </w:pPr>
            <w:r w:rsidRPr="00F33B4B">
              <w:rPr>
                <w:sz w:val="24"/>
                <w:szCs w:val="24"/>
              </w:rPr>
              <w:t>Females</w:t>
            </w:r>
          </w:p>
        </w:tc>
      </w:tr>
      <w:tr w:rsidR="009A0738" w:rsidRPr="00F33B4B" w:rsidTr="00F33B4B">
        <w:tc>
          <w:tcPr>
            <w:tcW w:w="1980" w:type="dxa"/>
          </w:tcPr>
          <w:p w:rsidR="009A0738" w:rsidRPr="00F33B4B" w:rsidRDefault="009A0738" w:rsidP="00F33B4B">
            <w:pPr>
              <w:spacing w:after="0"/>
              <w:jc w:val="center"/>
              <w:rPr>
                <w:sz w:val="24"/>
                <w:szCs w:val="24"/>
              </w:rPr>
            </w:pPr>
            <w:r w:rsidRPr="00F33B4B">
              <w:rPr>
                <w:sz w:val="24"/>
                <w:szCs w:val="24"/>
              </w:rPr>
              <w:t>19-60Y</w:t>
            </w:r>
          </w:p>
        </w:tc>
        <w:tc>
          <w:tcPr>
            <w:tcW w:w="1980" w:type="dxa"/>
          </w:tcPr>
          <w:p w:rsidR="009A0738" w:rsidRPr="00F33B4B" w:rsidRDefault="009A0738" w:rsidP="00F33B4B">
            <w:pPr>
              <w:spacing w:after="0"/>
              <w:jc w:val="center"/>
              <w:rPr>
                <w:sz w:val="24"/>
                <w:szCs w:val="24"/>
              </w:rPr>
            </w:pPr>
            <w:r w:rsidRPr="00F33B4B">
              <w:rPr>
                <w:sz w:val="24"/>
                <w:szCs w:val="24"/>
              </w:rPr>
              <w:t>&gt;60Y</w:t>
            </w:r>
          </w:p>
        </w:tc>
        <w:tc>
          <w:tcPr>
            <w:tcW w:w="1980" w:type="dxa"/>
          </w:tcPr>
          <w:p w:rsidR="009A0738" w:rsidRPr="00F33B4B" w:rsidRDefault="009A0738" w:rsidP="00F33B4B">
            <w:pPr>
              <w:spacing w:after="0"/>
              <w:jc w:val="center"/>
              <w:rPr>
                <w:sz w:val="24"/>
                <w:szCs w:val="24"/>
              </w:rPr>
            </w:pPr>
            <w:r w:rsidRPr="00F33B4B">
              <w:rPr>
                <w:sz w:val="24"/>
                <w:szCs w:val="24"/>
              </w:rPr>
              <w:t>19-50Y</w:t>
            </w:r>
          </w:p>
        </w:tc>
        <w:tc>
          <w:tcPr>
            <w:tcW w:w="1980" w:type="dxa"/>
          </w:tcPr>
          <w:p w:rsidR="009A0738" w:rsidRPr="00F33B4B" w:rsidRDefault="009A0738" w:rsidP="00F33B4B">
            <w:pPr>
              <w:spacing w:after="0"/>
              <w:jc w:val="center"/>
              <w:rPr>
                <w:sz w:val="24"/>
                <w:szCs w:val="24"/>
              </w:rPr>
            </w:pPr>
            <w:r w:rsidRPr="00F33B4B">
              <w:rPr>
                <w:sz w:val="24"/>
                <w:szCs w:val="24"/>
              </w:rPr>
              <w:t>&gt;50Y</w:t>
            </w:r>
          </w:p>
        </w:tc>
      </w:tr>
      <w:tr w:rsidR="009A0738" w:rsidRPr="00F33B4B" w:rsidTr="00F33B4B">
        <w:tc>
          <w:tcPr>
            <w:tcW w:w="1980" w:type="dxa"/>
          </w:tcPr>
          <w:p w:rsidR="009A0738" w:rsidRPr="00F33B4B" w:rsidRDefault="009A0738" w:rsidP="00F33B4B">
            <w:pPr>
              <w:spacing w:after="0"/>
              <w:jc w:val="center"/>
              <w:rPr>
                <w:sz w:val="24"/>
                <w:szCs w:val="24"/>
              </w:rPr>
            </w:pPr>
            <w:r w:rsidRPr="00F33B4B">
              <w:rPr>
                <w:sz w:val="24"/>
                <w:szCs w:val="24"/>
              </w:rPr>
              <w:t>250-1000 ng/dL</w:t>
            </w:r>
          </w:p>
        </w:tc>
        <w:tc>
          <w:tcPr>
            <w:tcW w:w="1980" w:type="dxa"/>
          </w:tcPr>
          <w:p w:rsidR="009A0738" w:rsidRPr="00F33B4B" w:rsidRDefault="009A0738" w:rsidP="00F33B4B">
            <w:pPr>
              <w:spacing w:after="0"/>
              <w:jc w:val="center"/>
              <w:rPr>
                <w:sz w:val="24"/>
                <w:szCs w:val="24"/>
              </w:rPr>
            </w:pPr>
            <w:r w:rsidRPr="00F33B4B">
              <w:rPr>
                <w:sz w:val="24"/>
                <w:szCs w:val="24"/>
              </w:rPr>
              <w:t>220-716 ng/dL</w:t>
            </w:r>
          </w:p>
        </w:tc>
        <w:tc>
          <w:tcPr>
            <w:tcW w:w="1980" w:type="dxa"/>
          </w:tcPr>
          <w:p w:rsidR="009A0738" w:rsidRPr="00F33B4B" w:rsidRDefault="009A0738" w:rsidP="00F33B4B">
            <w:pPr>
              <w:spacing w:after="0"/>
              <w:jc w:val="center"/>
              <w:rPr>
                <w:sz w:val="24"/>
                <w:szCs w:val="24"/>
              </w:rPr>
            </w:pPr>
            <w:r w:rsidRPr="00F33B4B">
              <w:rPr>
                <w:sz w:val="24"/>
                <w:szCs w:val="24"/>
              </w:rPr>
              <w:t>14-53 ng/dL</w:t>
            </w:r>
          </w:p>
        </w:tc>
        <w:tc>
          <w:tcPr>
            <w:tcW w:w="1980" w:type="dxa"/>
          </w:tcPr>
          <w:p w:rsidR="009A0738" w:rsidRPr="00F33B4B" w:rsidRDefault="009A0738" w:rsidP="00F33B4B">
            <w:pPr>
              <w:spacing w:after="0"/>
              <w:jc w:val="center"/>
              <w:rPr>
                <w:sz w:val="24"/>
                <w:szCs w:val="24"/>
              </w:rPr>
            </w:pPr>
            <w:r w:rsidRPr="00F33B4B">
              <w:rPr>
                <w:sz w:val="24"/>
                <w:szCs w:val="24"/>
              </w:rPr>
              <w:t>12-36 ng/dL</w:t>
            </w:r>
          </w:p>
        </w:tc>
      </w:tr>
    </w:tbl>
    <w:p w:rsidR="009A0738" w:rsidRDefault="009A0738">
      <w:pPr>
        <w:pStyle w:val="ListParagraph"/>
      </w:pPr>
      <w:bookmarkStart w:id="0" w:name="_GoBack"/>
      <w:bookmarkEnd w:id="0"/>
    </w:p>
    <w:p w:rsidR="009A0738" w:rsidRDefault="009A0738">
      <w:pPr>
        <w:pStyle w:val="ListParagraph"/>
        <w:numPr>
          <w:ilvl w:val="0"/>
          <w:numId w:val="3"/>
        </w:numPr>
      </w:pPr>
      <w:r w:rsidRPr="00626FDC">
        <w:t xml:space="preserve">Groenestege WM, Bui HN, ten Kate J, Menheere PP, Oosterhuis WP, </w:t>
      </w:r>
      <w:r>
        <w:t>et al</w:t>
      </w:r>
      <w:r w:rsidRPr="00626FDC">
        <w:t>.</w:t>
      </w:r>
      <w:r>
        <w:t xml:space="preserve"> </w:t>
      </w:r>
      <w:r w:rsidRPr="00626FDC">
        <w:t>Accuracy of first and second generation testosterone assays and improvement through sample extraction</w:t>
      </w:r>
      <w:r>
        <w:t xml:space="preserve">.  </w:t>
      </w:r>
      <w:r>
        <w:rPr>
          <w:u w:val="single"/>
        </w:rPr>
        <w:t>Clin Chem</w:t>
      </w:r>
      <w:r w:rsidRPr="0043707F">
        <w:t>. 2012;58:1154-6.</w:t>
      </w:r>
    </w:p>
    <w:p w:rsidR="009A0738" w:rsidRPr="009F0F72" w:rsidRDefault="009A0738" w:rsidP="00EB7673">
      <w:pPr>
        <w:rPr>
          <w:sz w:val="24"/>
          <w:szCs w:val="24"/>
        </w:rPr>
      </w:pPr>
    </w:p>
    <w:p w:rsidR="009A0738" w:rsidRDefault="009A0738" w:rsidP="009F0F72">
      <w:pPr>
        <w:jc w:val="center"/>
        <w:rPr>
          <w:sz w:val="24"/>
          <w:szCs w:val="24"/>
        </w:rPr>
      </w:pPr>
      <w:r w:rsidRPr="009F0F72">
        <w:rPr>
          <w:b/>
          <w:sz w:val="24"/>
          <w:szCs w:val="24"/>
        </w:rPr>
        <w:t xml:space="preserve">Changes to </w:t>
      </w:r>
      <w:r>
        <w:rPr>
          <w:b/>
          <w:sz w:val="24"/>
          <w:szCs w:val="24"/>
        </w:rPr>
        <w:t>Sex Hormone Binding Globulin (SHBG) Reference Intervals</w:t>
      </w:r>
    </w:p>
    <w:p w:rsidR="009A0738" w:rsidRDefault="009A0738" w:rsidP="009F0F72">
      <w:pPr>
        <w:rPr>
          <w:sz w:val="24"/>
          <w:szCs w:val="24"/>
        </w:rPr>
      </w:pPr>
      <w:r>
        <w:rPr>
          <w:sz w:val="24"/>
          <w:szCs w:val="24"/>
        </w:rPr>
        <w:t>In early January 2014, the method for measurement of Sex Hormone Binding Globulin (SHBG) was changed from the Immulite 2000 assay to the Abbott Architect assay.  The new assay shows improved performance compared with the Immulite assay</w:t>
      </w:r>
      <w:r>
        <w:rPr>
          <w:sz w:val="24"/>
          <w:szCs w:val="24"/>
          <w:vertAlign w:val="superscript"/>
        </w:rPr>
        <w:t>1</w:t>
      </w:r>
      <w:r>
        <w:rPr>
          <w:sz w:val="24"/>
          <w:szCs w:val="24"/>
        </w:rPr>
        <w:t>.</w:t>
      </w:r>
    </w:p>
    <w:p w:rsidR="009A0738" w:rsidRDefault="009A0738" w:rsidP="009F0F72">
      <w:pPr>
        <w:rPr>
          <w:sz w:val="24"/>
          <w:szCs w:val="24"/>
        </w:rPr>
      </w:pPr>
      <w:r>
        <w:rPr>
          <w:sz w:val="24"/>
          <w:szCs w:val="24"/>
        </w:rPr>
        <w:t>The reference intervals for the Architect assay are the following:</w:t>
      </w:r>
    </w:p>
    <w:tbl>
      <w:tblPr>
        <w:tblW w:w="0" w:type="auto"/>
        <w:tblInd w:w="1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80"/>
        <w:gridCol w:w="3150"/>
      </w:tblGrid>
      <w:tr w:rsidR="009A0738" w:rsidRPr="00F33B4B" w:rsidTr="00F33B4B">
        <w:tc>
          <w:tcPr>
            <w:tcW w:w="2880" w:type="dxa"/>
          </w:tcPr>
          <w:p w:rsidR="009A0738" w:rsidRPr="00F33B4B" w:rsidRDefault="009A0738" w:rsidP="00F33B4B">
            <w:pPr>
              <w:spacing w:after="0"/>
              <w:jc w:val="center"/>
              <w:rPr>
                <w:sz w:val="24"/>
                <w:szCs w:val="24"/>
              </w:rPr>
            </w:pPr>
            <w:r w:rsidRPr="00F33B4B">
              <w:rPr>
                <w:sz w:val="24"/>
                <w:szCs w:val="24"/>
              </w:rPr>
              <w:t>Males &gt;18Y</w:t>
            </w:r>
          </w:p>
        </w:tc>
        <w:tc>
          <w:tcPr>
            <w:tcW w:w="3150" w:type="dxa"/>
          </w:tcPr>
          <w:p w:rsidR="009A0738" w:rsidRPr="00F33B4B" w:rsidRDefault="009A0738" w:rsidP="00F33B4B">
            <w:pPr>
              <w:spacing w:after="0"/>
              <w:jc w:val="center"/>
              <w:rPr>
                <w:sz w:val="24"/>
                <w:szCs w:val="24"/>
              </w:rPr>
            </w:pPr>
            <w:r w:rsidRPr="00F33B4B">
              <w:rPr>
                <w:sz w:val="24"/>
                <w:szCs w:val="24"/>
              </w:rPr>
              <w:t>Females &gt;18Y</w:t>
            </w:r>
          </w:p>
        </w:tc>
      </w:tr>
      <w:tr w:rsidR="009A0738" w:rsidRPr="00F33B4B" w:rsidTr="00F33B4B">
        <w:tc>
          <w:tcPr>
            <w:tcW w:w="2880" w:type="dxa"/>
          </w:tcPr>
          <w:p w:rsidR="009A0738" w:rsidRPr="00F33B4B" w:rsidRDefault="009A0738" w:rsidP="00F33B4B">
            <w:pPr>
              <w:spacing w:after="0"/>
              <w:jc w:val="center"/>
              <w:rPr>
                <w:sz w:val="24"/>
                <w:szCs w:val="24"/>
              </w:rPr>
            </w:pPr>
            <w:r w:rsidRPr="00F33B4B">
              <w:rPr>
                <w:sz w:val="24"/>
                <w:szCs w:val="24"/>
              </w:rPr>
              <w:t>11-78 nmol/L</w:t>
            </w:r>
          </w:p>
        </w:tc>
        <w:tc>
          <w:tcPr>
            <w:tcW w:w="3150" w:type="dxa"/>
          </w:tcPr>
          <w:p w:rsidR="009A0738" w:rsidRPr="00F33B4B" w:rsidRDefault="009A0738" w:rsidP="00F33B4B">
            <w:pPr>
              <w:spacing w:after="0"/>
              <w:jc w:val="center"/>
              <w:rPr>
                <w:sz w:val="24"/>
                <w:szCs w:val="24"/>
              </w:rPr>
            </w:pPr>
            <w:r w:rsidRPr="00F33B4B">
              <w:rPr>
                <w:sz w:val="24"/>
                <w:szCs w:val="24"/>
              </w:rPr>
              <w:t>12-137 nmol/L</w:t>
            </w:r>
          </w:p>
        </w:tc>
      </w:tr>
    </w:tbl>
    <w:p w:rsidR="009A0738" w:rsidRDefault="009A0738" w:rsidP="009F0F72">
      <w:pPr>
        <w:rPr>
          <w:sz w:val="24"/>
          <w:szCs w:val="24"/>
        </w:rPr>
      </w:pPr>
    </w:p>
    <w:p w:rsidR="009A0738" w:rsidRDefault="009A0738" w:rsidP="009F0F72">
      <w:pPr>
        <w:rPr>
          <w:sz w:val="24"/>
          <w:szCs w:val="24"/>
        </w:rPr>
      </w:pPr>
      <w:r>
        <w:rPr>
          <w:sz w:val="24"/>
          <w:szCs w:val="24"/>
        </w:rPr>
        <w:t>During the transition to the new assay, patient reports were released with incorrect reference intervals.  All such reports are in the process of being revised to reflect the correct reference interval.  We apologize the any inconvenience and if there are further questions, please contact the Chemistry Director on-call (pic 1657).</w:t>
      </w:r>
    </w:p>
    <w:p w:rsidR="009A0738" w:rsidRDefault="009A0738" w:rsidP="00F42DF8">
      <w:pPr>
        <w:pStyle w:val="ListParagraph"/>
        <w:numPr>
          <w:ilvl w:val="0"/>
          <w:numId w:val="4"/>
        </w:numPr>
      </w:pPr>
      <w:r>
        <w:t>College of American Pathologists. CAP Accuracy Based Testosterone and Estradiol Survey 2013.</w:t>
      </w:r>
    </w:p>
    <w:p w:rsidR="009A0738" w:rsidRDefault="009A0738" w:rsidP="00F42DF8">
      <w:pPr>
        <w:pStyle w:val="ListParagraph"/>
      </w:pPr>
      <w:hyperlink r:id="rId5" w:history="1">
        <w:r>
          <w:rPr>
            <w:rStyle w:val="Hyperlink"/>
          </w:rPr>
          <w:t>http://www.cap.org/apps/docs/committees/chemistry/accuracy_based_testosterone_and_estradiol_survey_2013.pdf</w:t>
        </w:r>
      </w:hyperlink>
      <w:r>
        <w:t xml:space="preserve">   (Accessed January 27, 2014)</w:t>
      </w:r>
    </w:p>
    <w:p w:rsidR="009A0738" w:rsidRPr="00F42DF8" w:rsidRDefault="009A0738" w:rsidP="00F42DF8">
      <w:pPr>
        <w:pStyle w:val="ListParagraph"/>
        <w:rPr>
          <w:sz w:val="24"/>
          <w:szCs w:val="24"/>
        </w:rPr>
      </w:pPr>
    </w:p>
    <w:sectPr w:rsidR="009A0738" w:rsidRPr="00F42DF8" w:rsidSect="00EB7673">
      <w:pgSz w:w="12240" w:h="15840"/>
      <w:pgMar w:top="1440" w:right="1440" w:bottom="99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l?r ??fc"/>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38731E"/>
    <w:multiLevelType w:val="hybridMultilevel"/>
    <w:tmpl w:val="1CE878F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4E3057DD"/>
    <w:multiLevelType w:val="hybridMultilevel"/>
    <w:tmpl w:val="2564F04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563B56A0"/>
    <w:multiLevelType w:val="hybridMultilevel"/>
    <w:tmpl w:val="62DAAC0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5ABF1C0F"/>
    <w:multiLevelType w:val="hybridMultilevel"/>
    <w:tmpl w:val="EF3C9AB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A3C58"/>
    <w:rsid w:val="000D5F8D"/>
    <w:rsid w:val="000F57CC"/>
    <w:rsid w:val="001958A3"/>
    <w:rsid w:val="0020086F"/>
    <w:rsid w:val="00252B0E"/>
    <w:rsid w:val="00276538"/>
    <w:rsid w:val="00286B99"/>
    <w:rsid w:val="002F31CC"/>
    <w:rsid w:val="003A694C"/>
    <w:rsid w:val="0043707F"/>
    <w:rsid w:val="00495E5A"/>
    <w:rsid w:val="004A3C58"/>
    <w:rsid w:val="004C1F9B"/>
    <w:rsid w:val="00530D8C"/>
    <w:rsid w:val="00540C6D"/>
    <w:rsid w:val="00572627"/>
    <w:rsid w:val="005B0558"/>
    <w:rsid w:val="00626FDC"/>
    <w:rsid w:val="00644A57"/>
    <w:rsid w:val="006B0420"/>
    <w:rsid w:val="00824B72"/>
    <w:rsid w:val="00880BB8"/>
    <w:rsid w:val="00927306"/>
    <w:rsid w:val="00931B59"/>
    <w:rsid w:val="00980BEA"/>
    <w:rsid w:val="009A0738"/>
    <w:rsid w:val="009F0F72"/>
    <w:rsid w:val="00A52E28"/>
    <w:rsid w:val="00A8386E"/>
    <w:rsid w:val="00AB2057"/>
    <w:rsid w:val="00B34DB7"/>
    <w:rsid w:val="00B80964"/>
    <w:rsid w:val="00D038F2"/>
    <w:rsid w:val="00D31DBA"/>
    <w:rsid w:val="00DA032B"/>
    <w:rsid w:val="00DA7565"/>
    <w:rsid w:val="00E30270"/>
    <w:rsid w:val="00E367BC"/>
    <w:rsid w:val="00EB7673"/>
    <w:rsid w:val="00EE551A"/>
    <w:rsid w:val="00F33B4B"/>
    <w:rsid w:val="00F42DF8"/>
    <w:rsid w:val="00FC4CFD"/>
    <w:rsid w:val="00FE534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6B99"/>
    <w:pPr>
      <w:spacing w:after="200"/>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rsid w:val="00A8386E"/>
    <w:rPr>
      <w:rFonts w:cs="Times New Roman"/>
      <w:sz w:val="16"/>
      <w:szCs w:val="16"/>
    </w:rPr>
  </w:style>
  <w:style w:type="paragraph" w:styleId="CommentText">
    <w:name w:val="annotation text"/>
    <w:basedOn w:val="Normal"/>
    <w:link w:val="CommentTextChar"/>
    <w:uiPriority w:val="99"/>
    <w:semiHidden/>
    <w:rsid w:val="00A8386E"/>
    <w:rPr>
      <w:sz w:val="20"/>
      <w:szCs w:val="20"/>
    </w:rPr>
  </w:style>
  <w:style w:type="character" w:customStyle="1" w:styleId="CommentTextChar">
    <w:name w:val="Comment Text Char"/>
    <w:basedOn w:val="DefaultParagraphFont"/>
    <w:link w:val="CommentText"/>
    <w:uiPriority w:val="99"/>
    <w:semiHidden/>
    <w:locked/>
    <w:rsid w:val="00A8386E"/>
    <w:rPr>
      <w:rFonts w:cs="Times New Roman"/>
      <w:sz w:val="20"/>
      <w:szCs w:val="20"/>
    </w:rPr>
  </w:style>
  <w:style w:type="paragraph" w:styleId="CommentSubject">
    <w:name w:val="annotation subject"/>
    <w:basedOn w:val="CommentText"/>
    <w:next w:val="CommentText"/>
    <w:link w:val="CommentSubjectChar"/>
    <w:uiPriority w:val="99"/>
    <w:semiHidden/>
    <w:rsid w:val="00A8386E"/>
    <w:rPr>
      <w:b/>
      <w:bCs/>
    </w:rPr>
  </w:style>
  <w:style w:type="character" w:customStyle="1" w:styleId="CommentSubjectChar">
    <w:name w:val="Comment Subject Char"/>
    <w:basedOn w:val="CommentTextChar"/>
    <w:link w:val="CommentSubject"/>
    <w:uiPriority w:val="99"/>
    <w:semiHidden/>
    <w:locked/>
    <w:rsid w:val="00A8386E"/>
    <w:rPr>
      <w:b/>
      <w:bCs/>
    </w:rPr>
  </w:style>
  <w:style w:type="paragraph" w:styleId="BalloonText">
    <w:name w:val="Balloon Text"/>
    <w:basedOn w:val="Normal"/>
    <w:link w:val="BalloonTextChar"/>
    <w:uiPriority w:val="99"/>
    <w:semiHidden/>
    <w:rsid w:val="00A8386E"/>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8386E"/>
    <w:rPr>
      <w:rFonts w:ascii="Tahoma" w:hAnsi="Tahoma" w:cs="Tahoma"/>
      <w:sz w:val="16"/>
      <w:szCs w:val="16"/>
    </w:rPr>
  </w:style>
  <w:style w:type="paragraph" w:styleId="ListParagraph">
    <w:name w:val="List Paragraph"/>
    <w:basedOn w:val="Normal"/>
    <w:uiPriority w:val="99"/>
    <w:qFormat/>
    <w:rsid w:val="00276538"/>
    <w:pPr>
      <w:ind w:left="720"/>
      <w:contextualSpacing/>
    </w:pPr>
  </w:style>
  <w:style w:type="paragraph" w:styleId="NoSpacing">
    <w:name w:val="No Spacing"/>
    <w:uiPriority w:val="99"/>
    <w:qFormat/>
    <w:rsid w:val="001958A3"/>
    <w:rPr>
      <w:rFonts w:ascii="Times New Roman" w:eastAsia="MS Mincho" w:hAnsi="Times New Roman"/>
      <w:sz w:val="24"/>
      <w:szCs w:val="24"/>
      <w:lang w:eastAsia="ja-JP"/>
    </w:rPr>
  </w:style>
  <w:style w:type="table" w:styleId="TableGrid">
    <w:name w:val="Table Grid"/>
    <w:basedOn w:val="TableNormal"/>
    <w:uiPriority w:val="99"/>
    <w:rsid w:val="00AB205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626FDC"/>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985692112">
      <w:marLeft w:val="0"/>
      <w:marRight w:val="0"/>
      <w:marTop w:val="0"/>
      <w:marBottom w:val="0"/>
      <w:divBdr>
        <w:top w:val="none" w:sz="0" w:space="0" w:color="auto"/>
        <w:left w:val="none" w:sz="0" w:space="0" w:color="auto"/>
        <w:bottom w:val="none" w:sz="0" w:space="0" w:color="auto"/>
        <w:right w:val="none" w:sz="0" w:space="0" w:color="auto"/>
      </w:divBdr>
      <w:divsChild>
        <w:div w:id="1985692116">
          <w:marLeft w:val="0"/>
          <w:marRight w:val="0"/>
          <w:marTop w:val="0"/>
          <w:marBottom w:val="0"/>
          <w:divBdr>
            <w:top w:val="none" w:sz="0" w:space="0" w:color="auto"/>
            <w:left w:val="none" w:sz="0" w:space="0" w:color="auto"/>
            <w:bottom w:val="none" w:sz="0" w:space="0" w:color="auto"/>
            <w:right w:val="none" w:sz="0" w:space="0" w:color="auto"/>
          </w:divBdr>
          <w:divsChild>
            <w:div w:id="1985692114">
              <w:marLeft w:val="0"/>
              <w:marRight w:val="0"/>
              <w:marTop w:val="0"/>
              <w:marBottom w:val="0"/>
              <w:divBdr>
                <w:top w:val="none" w:sz="0" w:space="0" w:color="auto"/>
                <w:left w:val="none" w:sz="0" w:space="0" w:color="auto"/>
                <w:bottom w:val="none" w:sz="0" w:space="0" w:color="auto"/>
                <w:right w:val="none" w:sz="0" w:space="0" w:color="auto"/>
              </w:divBdr>
            </w:div>
            <w:div w:id="1985692115">
              <w:marLeft w:val="0"/>
              <w:marRight w:val="0"/>
              <w:marTop w:val="0"/>
              <w:marBottom w:val="0"/>
              <w:divBdr>
                <w:top w:val="none" w:sz="0" w:space="0" w:color="auto"/>
                <w:left w:val="none" w:sz="0" w:space="0" w:color="auto"/>
                <w:bottom w:val="none" w:sz="0" w:space="0" w:color="auto"/>
                <w:right w:val="none" w:sz="0" w:space="0" w:color="auto"/>
              </w:divBdr>
            </w:div>
            <w:div w:id="1985692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692120">
      <w:marLeft w:val="0"/>
      <w:marRight w:val="0"/>
      <w:marTop w:val="0"/>
      <w:marBottom w:val="0"/>
      <w:divBdr>
        <w:top w:val="none" w:sz="0" w:space="0" w:color="auto"/>
        <w:left w:val="none" w:sz="0" w:space="0" w:color="auto"/>
        <w:bottom w:val="none" w:sz="0" w:space="0" w:color="auto"/>
        <w:right w:val="none" w:sz="0" w:space="0" w:color="auto"/>
      </w:divBdr>
      <w:divsChild>
        <w:div w:id="1985692113">
          <w:marLeft w:val="0"/>
          <w:marRight w:val="0"/>
          <w:marTop w:val="0"/>
          <w:marBottom w:val="0"/>
          <w:divBdr>
            <w:top w:val="none" w:sz="0" w:space="0" w:color="auto"/>
            <w:left w:val="none" w:sz="0" w:space="0" w:color="auto"/>
            <w:bottom w:val="none" w:sz="0" w:space="0" w:color="auto"/>
            <w:right w:val="none" w:sz="0" w:space="0" w:color="auto"/>
          </w:divBdr>
          <w:divsChild>
            <w:div w:id="1985692117">
              <w:marLeft w:val="0"/>
              <w:marRight w:val="0"/>
              <w:marTop w:val="0"/>
              <w:marBottom w:val="0"/>
              <w:divBdr>
                <w:top w:val="none" w:sz="0" w:space="0" w:color="auto"/>
                <w:left w:val="none" w:sz="0" w:space="0" w:color="auto"/>
                <w:bottom w:val="none" w:sz="0" w:space="0" w:color="auto"/>
                <w:right w:val="none" w:sz="0" w:space="0" w:color="auto"/>
              </w:divBdr>
            </w:div>
            <w:div w:id="198569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cap.org/apps/docs/committees/chemistry/accuracy_based_testosterone_and_estradiol_survey_2013.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27</TotalTime>
  <Pages>4</Pages>
  <Words>659</Words>
  <Characters>3758</Characters>
  <Application>Microsoft Office Outlook</Application>
  <DocSecurity>0</DocSecurity>
  <Lines>0</Lines>
  <Paragraphs>0</Paragraphs>
  <ScaleCrop>false</ScaleCrop>
  <Company>UVA Health System</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Virginia Health System</dc:title>
  <dc:subject/>
  <dc:creator>Dede Haverstick</dc:creator>
  <cp:keywords/>
  <dc:description/>
  <cp:lastModifiedBy>Pannell, Christy W *HS</cp:lastModifiedBy>
  <cp:revision>2</cp:revision>
  <cp:lastPrinted>2014-01-28T14:24:00Z</cp:lastPrinted>
  <dcterms:created xsi:type="dcterms:W3CDTF">2014-01-28T14:26:00Z</dcterms:created>
  <dcterms:modified xsi:type="dcterms:W3CDTF">2014-01-28T14:26:00Z</dcterms:modified>
</cp:coreProperties>
</file>