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CB" w:rsidRPr="00FD08E0" w:rsidRDefault="009E50CB" w:rsidP="009E50CB">
      <w:pPr>
        <w:pStyle w:val="NoSpacing"/>
        <w:jc w:val="center"/>
        <w:outlineLvl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8226DB">
        <w:rPr>
          <w:rFonts w:asciiTheme="minorHAnsi" w:hAnsiTheme="minorHAnsi"/>
          <w:sz w:val="28"/>
          <w:szCs w:val="28"/>
        </w:rPr>
        <w:t>University of Virginia Health System</w:t>
      </w:r>
    </w:p>
    <w:p w:rsidR="009E50CB" w:rsidRPr="00FD08E0" w:rsidRDefault="009E50CB" w:rsidP="009E50CB">
      <w:pPr>
        <w:pStyle w:val="NoSpacing"/>
        <w:jc w:val="center"/>
        <w:outlineLvl w:val="0"/>
        <w:rPr>
          <w:rFonts w:asciiTheme="minorHAnsi" w:hAnsiTheme="minorHAnsi"/>
          <w:b/>
          <w:snapToGrid w:val="0"/>
          <w:sz w:val="28"/>
          <w:szCs w:val="28"/>
        </w:rPr>
      </w:pPr>
      <w:r w:rsidRPr="008226DB">
        <w:rPr>
          <w:rFonts w:asciiTheme="minorHAnsi" w:hAnsiTheme="minorHAnsi"/>
          <w:b/>
          <w:snapToGrid w:val="0"/>
          <w:sz w:val="28"/>
          <w:szCs w:val="28"/>
        </w:rPr>
        <w:t>Medical Laboratories</w:t>
      </w:r>
    </w:p>
    <w:p w:rsidR="009E50CB" w:rsidRPr="00FD08E0" w:rsidRDefault="009E50CB" w:rsidP="009E50CB">
      <w:pPr>
        <w:pStyle w:val="NoSpacing"/>
        <w:jc w:val="center"/>
        <w:outlineLvl w:val="0"/>
        <w:rPr>
          <w:rFonts w:asciiTheme="minorHAnsi" w:hAnsiTheme="minorHAnsi"/>
          <w:b/>
          <w:i/>
          <w:snapToGrid w:val="0"/>
          <w:sz w:val="28"/>
          <w:szCs w:val="28"/>
        </w:rPr>
      </w:pPr>
      <w:r w:rsidRPr="008226DB">
        <w:rPr>
          <w:rFonts w:asciiTheme="minorHAnsi" w:hAnsiTheme="minorHAnsi"/>
          <w:b/>
          <w:i/>
          <w:snapToGrid w:val="0"/>
          <w:sz w:val="28"/>
          <w:szCs w:val="28"/>
        </w:rPr>
        <w:t>“Quality You Expect, Service You Deserve”</w:t>
      </w:r>
    </w:p>
    <w:p w:rsidR="009E50CB" w:rsidRPr="00FD08E0" w:rsidRDefault="009E50CB" w:rsidP="009E50CB">
      <w:pPr>
        <w:pStyle w:val="NoSpacing"/>
        <w:jc w:val="center"/>
        <w:rPr>
          <w:rFonts w:asciiTheme="minorHAnsi" w:hAnsiTheme="minorHAnsi"/>
          <w:b/>
          <w:i/>
          <w:snapToGrid w:val="0"/>
        </w:rPr>
      </w:pPr>
    </w:p>
    <w:p w:rsidR="009E50CB" w:rsidRDefault="009E50CB" w:rsidP="009E50CB">
      <w:pPr>
        <w:keepNext/>
        <w:widowControl w:val="0"/>
        <w:jc w:val="center"/>
        <w:outlineLvl w:val="0"/>
        <w:rPr>
          <w:rFonts w:asciiTheme="minorHAnsi" w:hAnsiTheme="minorHAnsi"/>
          <w:b/>
          <w:i/>
          <w:snapToGrid w:val="0"/>
          <w:sz w:val="28"/>
          <w:szCs w:val="28"/>
          <w:u w:val="single"/>
        </w:rPr>
      </w:pPr>
      <w:r w:rsidRPr="008226DB">
        <w:rPr>
          <w:rFonts w:asciiTheme="minorHAnsi" w:hAnsiTheme="minorHAnsi"/>
          <w:b/>
          <w:i/>
          <w:snapToGrid w:val="0"/>
          <w:sz w:val="28"/>
          <w:szCs w:val="28"/>
          <w:u w:val="single"/>
        </w:rPr>
        <w:t>LABORATORY MEDICINE UPDATE</w:t>
      </w:r>
    </w:p>
    <w:p w:rsidR="009E50CB" w:rsidRPr="00FD08E0" w:rsidRDefault="009E50CB" w:rsidP="009E50CB">
      <w:pPr>
        <w:keepNext/>
        <w:widowControl w:val="0"/>
        <w:jc w:val="center"/>
        <w:outlineLvl w:val="0"/>
        <w:rPr>
          <w:rFonts w:asciiTheme="minorHAnsi" w:hAnsiTheme="minorHAnsi"/>
          <w:b/>
          <w:i/>
          <w:snapToGrid w:val="0"/>
          <w:sz w:val="28"/>
          <w:szCs w:val="28"/>
          <w:u w:val="single"/>
        </w:rPr>
      </w:pPr>
    </w:p>
    <w:p w:rsidR="009E50CB" w:rsidRDefault="009E50CB" w:rsidP="009E50CB">
      <w:pPr>
        <w:jc w:val="center"/>
        <w:rPr>
          <w:rFonts w:asciiTheme="minorHAnsi" w:hAnsiTheme="minorHAnsi"/>
          <w:snapToGrid w:val="0"/>
          <w:sz w:val="28"/>
          <w:szCs w:val="28"/>
          <w:u w:val="single"/>
        </w:rPr>
      </w:pPr>
      <w:r>
        <w:rPr>
          <w:rFonts w:asciiTheme="minorHAnsi" w:hAnsiTheme="minorHAnsi"/>
          <w:snapToGrid w:val="0"/>
          <w:sz w:val="28"/>
          <w:szCs w:val="28"/>
          <w:u w:val="single"/>
        </w:rPr>
        <w:t>April 25, 2014</w:t>
      </w:r>
    </w:p>
    <w:p w:rsidR="009E50CB" w:rsidRDefault="009E50CB" w:rsidP="009E50CB">
      <w:pPr>
        <w:jc w:val="center"/>
        <w:rPr>
          <w:rFonts w:asciiTheme="minorHAnsi" w:hAnsiTheme="minorHAnsi"/>
          <w:b/>
        </w:rPr>
      </w:pPr>
    </w:p>
    <w:p w:rsidR="00D11187" w:rsidRPr="009E50CB" w:rsidRDefault="009351D0" w:rsidP="009E50C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DNA </w:t>
      </w:r>
      <w:r w:rsidR="001D5187" w:rsidRPr="009E50CB">
        <w:rPr>
          <w:rFonts w:asciiTheme="minorHAnsi" w:hAnsiTheme="minorHAnsi"/>
          <w:b/>
        </w:rPr>
        <w:t>Microarray for I</w:t>
      </w:r>
      <w:r w:rsidR="00F06047" w:rsidRPr="009E50CB">
        <w:rPr>
          <w:rFonts w:asciiTheme="minorHAnsi" w:hAnsiTheme="minorHAnsi"/>
          <w:b/>
        </w:rPr>
        <w:t xml:space="preserve">dentification of Gram Positive Cocci in </w:t>
      </w:r>
      <w:r w:rsidR="001D5187" w:rsidRPr="009E50CB">
        <w:rPr>
          <w:rFonts w:asciiTheme="minorHAnsi" w:hAnsiTheme="minorHAnsi"/>
          <w:b/>
        </w:rPr>
        <w:t>B</w:t>
      </w:r>
      <w:r w:rsidR="00F06047" w:rsidRPr="009E50CB">
        <w:rPr>
          <w:rFonts w:asciiTheme="minorHAnsi" w:hAnsiTheme="minorHAnsi"/>
          <w:b/>
        </w:rPr>
        <w:t xml:space="preserve">lood </w:t>
      </w:r>
      <w:r w:rsidR="001D5187" w:rsidRPr="009E50CB">
        <w:rPr>
          <w:rFonts w:asciiTheme="minorHAnsi" w:hAnsiTheme="minorHAnsi"/>
          <w:b/>
        </w:rPr>
        <w:t>C</w:t>
      </w:r>
      <w:r w:rsidR="00F06047" w:rsidRPr="009E50CB">
        <w:rPr>
          <w:rFonts w:asciiTheme="minorHAnsi" w:hAnsiTheme="minorHAnsi"/>
          <w:b/>
        </w:rPr>
        <w:t>ultures</w:t>
      </w:r>
    </w:p>
    <w:p w:rsidR="00F06047" w:rsidRPr="009E50CB" w:rsidRDefault="00F06047">
      <w:pPr>
        <w:rPr>
          <w:rFonts w:asciiTheme="minorHAnsi" w:hAnsiTheme="minorHAnsi"/>
        </w:rPr>
      </w:pPr>
    </w:p>
    <w:p w:rsidR="00F06047" w:rsidRPr="009E50CB" w:rsidRDefault="00F06047">
      <w:pPr>
        <w:rPr>
          <w:rFonts w:asciiTheme="minorHAnsi" w:hAnsiTheme="minorHAnsi"/>
        </w:rPr>
      </w:pPr>
      <w:r w:rsidRPr="009E50CB">
        <w:rPr>
          <w:rFonts w:asciiTheme="minorHAnsi" w:hAnsiTheme="minorHAnsi"/>
        </w:rPr>
        <w:t xml:space="preserve">As of April </w:t>
      </w:r>
      <w:r w:rsidR="009E50CB" w:rsidRPr="009E50CB">
        <w:rPr>
          <w:rFonts w:asciiTheme="minorHAnsi" w:hAnsiTheme="minorHAnsi"/>
        </w:rPr>
        <w:t>28</w:t>
      </w:r>
      <w:r w:rsidRPr="009E50CB">
        <w:rPr>
          <w:rFonts w:asciiTheme="minorHAnsi" w:hAnsiTheme="minorHAnsi"/>
        </w:rPr>
        <w:t xml:space="preserve">, 2014, the Clinical Microbiology and Molecular Diagnostics laboratory will implement the use of </w:t>
      </w:r>
      <w:r w:rsidR="009351D0">
        <w:rPr>
          <w:rFonts w:asciiTheme="minorHAnsi" w:hAnsiTheme="minorHAnsi"/>
        </w:rPr>
        <w:t xml:space="preserve">DNA </w:t>
      </w:r>
      <w:r w:rsidRPr="009E50CB">
        <w:rPr>
          <w:rFonts w:asciiTheme="minorHAnsi" w:hAnsiTheme="minorHAnsi"/>
        </w:rPr>
        <w:t xml:space="preserve">microarray testing for the identification of Gram Positive Cocci in blood cultures.  The following organisms </w:t>
      </w:r>
      <w:r w:rsidR="00AD183D" w:rsidRPr="009E50CB">
        <w:rPr>
          <w:rFonts w:asciiTheme="minorHAnsi" w:hAnsiTheme="minorHAnsi"/>
        </w:rPr>
        <w:t xml:space="preserve">and antimicrobial resistance markers </w:t>
      </w:r>
      <w:r w:rsidRPr="009E50CB">
        <w:rPr>
          <w:rFonts w:asciiTheme="minorHAnsi" w:hAnsiTheme="minorHAnsi"/>
        </w:rPr>
        <w:t>are identifiable with this microarray:</w:t>
      </w:r>
    </w:p>
    <w:p w:rsidR="00AD183D" w:rsidRPr="009E50CB" w:rsidRDefault="00AD183D" w:rsidP="00F06047">
      <w:pPr>
        <w:numPr>
          <w:ilvl w:val="0"/>
          <w:numId w:val="1"/>
        </w:numPr>
        <w:rPr>
          <w:rFonts w:asciiTheme="minorHAnsi" w:hAnsiTheme="minorHAnsi"/>
          <w:i/>
        </w:rPr>
        <w:sectPr w:rsidR="00AD183D" w:rsidRPr="009E50C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06047" w:rsidRPr="009E50CB" w:rsidRDefault="00F06047" w:rsidP="00AD18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i/>
        </w:rPr>
      </w:pPr>
      <w:r w:rsidRPr="009E50CB">
        <w:rPr>
          <w:rFonts w:asciiTheme="minorHAnsi" w:hAnsiTheme="minorHAnsi"/>
          <w:i/>
        </w:rPr>
        <w:lastRenderedPageBreak/>
        <w:t>Staphylococcus aureus</w:t>
      </w:r>
    </w:p>
    <w:p w:rsidR="00F06047" w:rsidRPr="009E50CB" w:rsidRDefault="00F06047" w:rsidP="00AD18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9E50CB">
        <w:rPr>
          <w:rFonts w:asciiTheme="minorHAnsi" w:hAnsiTheme="minorHAnsi"/>
        </w:rPr>
        <w:t>Coagulase Negative Staphylococci</w:t>
      </w:r>
    </w:p>
    <w:p w:rsidR="00F06047" w:rsidRPr="009E50CB" w:rsidRDefault="00F06047" w:rsidP="00AD18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9E50CB">
        <w:rPr>
          <w:rFonts w:asciiTheme="minorHAnsi" w:hAnsiTheme="minorHAnsi"/>
        </w:rPr>
        <w:t>Group A Streptococci</w:t>
      </w:r>
    </w:p>
    <w:p w:rsidR="00F06047" w:rsidRPr="009E50CB" w:rsidRDefault="00F06047" w:rsidP="00AD18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9E50CB">
        <w:rPr>
          <w:rFonts w:asciiTheme="minorHAnsi" w:hAnsiTheme="minorHAnsi"/>
        </w:rPr>
        <w:t>Group B Streptococci</w:t>
      </w:r>
    </w:p>
    <w:p w:rsidR="00F06047" w:rsidRPr="009E50CB" w:rsidRDefault="00F06047" w:rsidP="00AD18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i/>
        </w:rPr>
      </w:pPr>
      <w:r w:rsidRPr="009E50CB">
        <w:rPr>
          <w:rFonts w:asciiTheme="minorHAnsi" w:hAnsiTheme="minorHAnsi"/>
          <w:i/>
        </w:rPr>
        <w:t>Streptococcus pneumoniae</w:t>
      </w:r>
    </w:p>
    <w:p w:rsidR="00F06047" w:rsidRPr="009E50CB" w:rsidRDefault="00F06047" w:rsidP="00AD18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9E50CB">
        <w:rPr>
          <w:rFonts w:asciiTheme="minorHAnsi" w:hAnsiTheme="minorHAnsi"/>
          <w:i/>
        </w:rPr>
        <w:t>Streptococcus anginosus</w:t>
      </w:r>
      <w:r w:rsidRPr="009E50CB">
        <w:rPr>
          <w:rFonts w:asciiTheme="minorHAnsi" w:hAnsiTheme="minorHAnsi"/>
        </w:rPr>
        <w:t xml:space="preserve"> group</w:t>
      </w:r>
    </w:p>
    <w:p w:rsidR="00F06047" w:rsidRPr="009E50CB" w:rsidRDefault="00F06047" w:rsidP="00AD18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i/>
        </w:rPr>
      </w:pPr>
      <w:r w:rsidRPr="009E50CB">
        <w:rPr>
          <w:rFonts w:asciiTheme="minorHAnsi" w:hAnsiTheme="minorHAnsi"/>
          <w:i/>
        </w:rPr>
        <w:lastRenderedPageBreak/>
        <w:t>Enterococcus faecium</w:t>
      </w:r>
    </w:p>
    <w:p w:rsidR="00F06047" w:rsidRPr="009E50CB" w:rsidRDefault="00F06047" w:rsidP="00AD18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i/>
        </w:rPr>
      </w:pPr>
      <w:r w:rsidRPr="009E50CB">
        <w:rPr>
          <w:rFonts w:asciiTheme="minorHAnsi" w:hAnsiTheme="minorHAnsi"/>
          <w:i/>
        </w:rPr>
        <w:t>Enterococcus faecalis</w:t>
      </w:r>
    </w:p>
    <w:p w:rsidR="00F06047" w:rsidRPr="009E50CB" w:rsidRDefault="00F06047" w:rsidP="00AD18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9E50CB">
        <w:rPr>
          <w:rFonts w:asciiTheme="minorHAnsi" w:hAnsiTheme="minorHAnsi"/>
          <w:i/>
        </w:rPr>
        <w:t>Streptococcus sp</w:t>
      </w:r>
      <w:r w:rsidRPr="009E50CB">
        <w:rPr>
          <w:rFonts w:asciiTheme="minorHAnsi" w:hAnsiTheme="minorHAnsi"/>
        </w:rPr>
        <w:t xml:space="preserve"> (other than the above)</w:t>
      </w:r>
    </w:p>
    <w:p w:rsidR="00AD183D" w:rsidRPr="009E50CB" w:rsidRDefault="00AD183D" w:rsidP="00AD18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i/>
        </w:rPr>
      </w:pPr>
      <w:r w:rsidRPr="009E50CB">
        <w:rPr>
          <w:rFonts w:asciiTheme="minorHAnsi" w:hAnsiTheme="minorHAnsi"/>
        </w:rPr>
        <w:t>mecA (for identification of MRSA)</w:t>
      </w:r>
    </w:p>
    <w:p w:rsidR="00AD183D" w:rsidRPr="009E50CB" w:rsidRDefault="00AD183D" w:rsidP="00AD18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i/>
        </w:rPr>
      </w:pPr>
      <w:r w:rsidRPr="009E50CB">
        <w:rPr>
          <w:rFonts w:asciiTheme="minorHAnsi" w:hAnsiTheme="minorHAnsi"/>
        </w:rPr>
        <w:t>vanA (for identification of VRE)</w:t>
      </w:r>
    </w:p>
    <w:p w:rsidR="00AD183D" w:rsidRPr="009E50CB" w:rsidRDefault="00AD183D" w:rsidP="00AD18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i/>
        </w:rPr>
      </w:pPr>
      <w:r w:rsidRPr="009E50CB">
        <w:rPr>
          <w:rFonts w:asciiTheme="minorHAnsi" w:hAnsiTheme="minorHAnsi"/>
        </w:rPr>
        <w:t>vanB (for identification of VRE)</w:t>
      </w:r>
    </w:p>
    <w:p w:rsidR="00AD183D" w:rsidRPr="009E50CB" w:rsidRDefault="00AD183D">
      <w:pPr>
        <w:rPr>
          <w:rFonts w:asciiTheme="minorHAnsi" w:hAnsiTheme="minorHAnsi"/>
        </w:rPr>
        <w:sectPr w:rsidR="00AD183D" w:rsidRPr="009E50CB" w:rsidSect="00AD183D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780" w:space="540"/>
            <w:col w:w="4320"/>
          </w:cols>
          <w:docGrid w:linePitch="360"/>
        </w:sectPr>
      </w:pPr>
    </w:p>
    <w:p w:rsidR="001D5187" w:rsidRPr="009E50CB" w:rsidRDefault="001D5187">
      <w:pPr>
        <w:rPr>
          <w:rFonts w:asciiTheme="minorHAnsi" w:hAnsiTheme="minorHAnsi"/>
        </w:rPr>
      </w:pPr>
    </w:p>
    <w:p w:rsidR="00AD183D" w:rsidRPr="009E50CB" w:rsidRDefault="00AD183D">
      <w:pPr>
        <w:rPr>
          <w:rFonts w:asciiTheme="minorHAnsi" w:hAnsiTheme="minorHAnsi"/>
        </w:rPr>
        <w:sectPr w:rsidR="00AD183D" w:rsidRPr="009E50CB" w:rsidSect="00AD183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9E50CB">
        <w:rPr>
          <w:rFonts w:asciiTheme="minorHAnsi" w:hAnsiTheme="minorHAnsi"/>
        </w:rPr>
        <w:t xml:space="preserve">Gram stain results will be called as </w:t>
      </w:r>
      <w:r w:rsidR="00124384" w:rsidRPr="009E50CB">
        <w:rPr>
          <w:rFonts w:asciiTheme="minorHAnsi" w:hAnsiTheme="minorHAnsi"/>
        </w:rPr>
        <w:t>always</w:t>
      </w:r>
      <w:r w:rsidRPr="009E50CB">
        <w:rPr>
          <w:rFonts w:asciiTheme="minorHAnsi" w:hAnsiTheme="minorHAnsi"/>
        </w:rPr>
        <w:t>, with microarray results available within 3-4 hours</w:t>
      </w:r>
      <w:r w:rsidR="00124384" w:rsidRPr="009E50CB">
        <w:rPr>
          <w:rFonts w:asciiTheme="minorHAnsi" w:hAnsiTheme="minorHAnsi"/>
        </w:rPr>
        <w:t xml:space="preserve"> of this call</w:t>
      </w:r>
      <w:r w:rsidRPr="009E50CB">
        <w:rPr>
          <w:rFonts w:asciiTheme="minorHAnsi" w:hAnsiTheme="minorHAnsi"/>
        </w:rPr>
        <w:t>.</w:t>
      </w:r>
      <w:r w:rsidR="001D5187" w:rsidRPr="009E50CB">
        <w:rPr>
          <w:rFonts w:asciiTheme="minorHAnsi" w:hAnsiTheme="minorHAnsi"/>
        </w:rPr>
        <w:t xml:space="preserve"> Clinicia</w:t>
      </w:r>
      <w:r w:rsidR="00124384" w:rsidRPr="009E50CB">
        <w:rPr>
          <w:rFonts w:asciiTheme="minorHAnsi" w:hAnsiTheme="minorHAnsi"/>
        </w:rPr>
        <w:t>ns are responsible for checking the patient’s medical</w:t>
      </w:r>
      <w:r w:rsidR="00402FB5" w:rsidRPr="009E50CB">
        <w:rPr>
          <w:rFonts w:asciiTheme="minorHAnsi" w:hAnsiTheme="minorHAnsi"/>
        </w:rPr>
        <w:t xml:space="preserve"> record for microarray results.  </w:t>
      </w:r>
      <w:r w:rsidR="009351D0">
        <w:rPr>
          <w:rFonts w:asciiTheme="minorHAnsi" w:hAnsiTheme="minorHAnsi"/>
          <w:b/>
        </w:rPr>
        <w:t>M</w:t>
      </w:r>
      <w:r w:rsidR="00124384" w:rsidRPr="009E50CB">
        <w:rPr>
          <w:rFonts w:asciiTheme="minorHAnsi" w:hAnsiTheme="minorHAnsi"/>
          <w:b/>
        </w:rPr>
        <w:t>icroarray results will not be called</w:t>
      </w:r>
      <w:r w:rsidR="00402FB5" w:rsidRPr="009E50CB">
        <w:rPr>
          <w:rFonts w:asciiTheme="minorHAnsi" w:hAnsiTheme="minorHAnsi"/>
          <w:b/>
        </w:rPr>
        <w:t xml:space="preserve"> to the ordering clinician</w:t>
      </w:r>
      <w:r w:rsidR="001D5187" w:rsidRPr="009E50CB">
        <w:rPr>
          <w:rFonts w:asciiTheme="minorHAnsi" w:hAnsiTheme="minorHAnsi"/>
        </w:rPr>
        <w:t>.</w:t>
      </w:r>
      <w:r w:rsidRPr="009E50CB">
        <w:rPr>
          <w:rFonts w:asciiTheme="minorHAnsi" w:hAnsiTheme="minorHAnsi"/>
        </w:rPr>
        <w:t xml:space="preserve">  If the microarray </w:t>
      </w:r>
      <w:r w:rsidR="00124384" w:rsidRPr="009E50CB">
        <w:rPr>
          <w:rFonts w:asciiTheme="minorHAnsi" w:hAnsiTheme="minorHAnsi"/>
        </w:rPr>
        <w:t>is</w:t>
      </w:r>
      <w:r w:rsidRPr="009E50CB">
        <w:rPr>
          <w:rFonts w:asciiTheme="minorHAnsi" w:hAnsiTheme="minorHAnsi"/>
        </w:rPr>
        <w:t xml:space="preserve"> unable to provide a genus or species level identification of the Gram Positive Cocci, the gram stain results will remain in the </w:t>
      </w:r>
      <w:r w:rsidR="001D5187" w:rsidRPr="009E50CB">
        <w:rPr>
          <w:rFonts w:asciiTheme="minorHAnsi" w:hAnsiTheme="minorHAnsi"/>
        </w:rPr>
        <w:t>result field of the report</w:t>
      </w:r>
      <w:r w:rsidRPr="009E50CB">
        <w:rPr>
          <w:rFonts w:asciiTheme="minorHAnsi" w:hAnsiTheme="minorHAnsi"/>
        </w:rPr>
        <w:t xml:space="preserve">.  This testing will replace PNA-FISH for the identification of </w:t>
      </w:r>
      <w:r w:rsidRPr="009E50CB">
        <w:rPr>
          <w:rFonts w:asciiTheme="minorHAnsi" w:hAnsiTheme="minorHAnsi"/>
          <w:i/>
        </w:rPr>
        <w:t>S. aureus</w:t>
      </w:r>
      <w:r w:rsidR="00402FB5" w:rsidRPr="009E50CB">
        <w:rPr>
          <w:rFonts w:asciiTheme="minorHAnsi" w:hAnsiTheme="minorHAnsi"/>
        </w:rPr>
        <w:t xml:space="preserve">, </w:t>
      </w:r>
      <w:r w:rsidR="001D5187" w:rsidRPr="009E50CB">
        <w:rPr>
          <w:rFonts w:asciiTheme="minorHAnsi" w:hAnsiTheme="minorHAnsi"/>
        </w:rPr>
        <w:t xml:space="preserve">Coagulase Negative Staphylococci and </w:t>
      </w:r>
      <w:r w:rsidR="001D5187" w:rsidRPr="009E50CB">
        <w:rPr>
          <w:rFonts w:asciiTheme="minorHAnsi" w:hAnsiTheme="minorHAnsi"/>
          <w:i/>
        </w:rPr>
        <w:t>Enterococcus</w:t>
      </w:r>
      <w:r w:rsidR="001D5187" w:rsidRPr="009E50CB">
        <w:rPr>
          <w:rFonts w:asciiTheme="minorHAnsi" w:hAnsiTheme="minorHAnsi"/>
        </w:rPr>
        <w:t xml:space="preserve"> </w:t>
      </w:r>
      <w:r w:rsidR="001D5187" w:rsidRPr="009E50CB">
        <w:rPr>
          <w:rFonts w:asciiTheme="minorHAnsi" w:hAnsiTheme="minorHAnsi"/>
          <w:i/>
        </w:rPr>
        <w:t>sp</w:t>
      </w:r>
      <w:r w:rsidR="001D5187" w:rsidRPr="009E50CB">
        <w:rPr>
          <w:rFonts w:asciiTheme="minorHAnsi" w:hAnsiTheme="minorHAnsi"/>
        </w:rPr>
        <w:t>.  Questions may be directed to the Clinical Microbiology Director on Call at PIC 1221.</w:t>
      </w:r>
    </w:p>
    <w:p w:rsidR="00F06047" w:rsidRDefault="00F06047"/>
    <w:p w:rsidR="00F06047" w:rsidRDefault="00F06047"/>
    <w:sectPr w:rsidR="00F06047" w:rsidSect="00AD183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05E"/>
    <w:multiLevelType w:val="hybridMultilevel"/>
    <w:tmpl w:val="7AC07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47"/>
    <w:rsid w:val="0000726D"/>
    <w:rsid w:val="00124384"/>
    <w:rsid w:val="001D5187"/>
    <w:rsid w:val="00213450"/>
    <w:rsid w:val="003B693A"/>
    <w:rsid w:val="00402FB5"/>
    <w:rsid w:val="007D5121"/>
    <w:rsid w:val="009351D0"/>
    <w:rsid w:val="009E50CB"/>
    <w:rsid w:val="00AD183D"/>
    <w:rsid w:val="00D11187"/>
    <w:rsid w:val="00DC5089"/>
    <w:rsid w:val="00F0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0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06047"/>
    <w:rPr>
      <w:i/>
      <w:iCs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qFormat/>
    <w:rsid w:val="00F06047"/>
    <w:rPr>
      <w:b/>
      <w:bCs/>
      <w:sz w:val="24"/>
      <w:szCs w:val="24"/>
      <w:bdr w:val="none" w:sz="0" w:space="0" w:color="auto" w:frame="1"/>
      <w:vertAlign w:val="baseline"/>
    </w:rPr>
  </w:style>
  <w:style w:type="table" w:styleId="TableGrid">
    <w:name w:val="Table Grid"/>
    <w:basedOn w:val="TableNormal"/>
    <w:rsid w:val="00F06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E50CB"/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0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06047"/>
    <w:rPr>
      <w:i/>
      <w:iCs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qFormat/>
    <w:rsid w:val="00F06047"/>
    <w:rPr>
      <w:b/>
      <w:bCs/>
      <w:sz w:val="24"/>
      <w:szCs w:val="24"/>
      <w:bdr w:val="none" w:sz="0" w:space="0" w:color="auto" w:frame="1"/>
      <w:vertAlign w:val="baseline"/>
    </w:rPr>
  </w:style>
  <w:style w:type="table" w:styleId="TableGrid">
    <w:name w:val="Table Grid"/>
    <w:basedOn w:val="TableNormal"/>
    <w:rsid w:val="00F06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E50CB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7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3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Microarray for Identification of Gram Positive Cocci in Blood Cultures</vt:lpstr>
    </vt:vector>
  </TitlesOfParts>
  <Company>UVA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Microarray for Identification of Gram Positive Cocci in Blood Cultures</dc:title>
  <dc:creator>Melinda D Poulter</dc:creator>
  <cp:lastModifiedBy>Smith, JD *HS</cp:lastModifiedBy>
  <cp:revision>2</cp:revision>
  <dcterms:created xsi:type="dcterms:W3CDTF">2014-04-25T13:05:00Z</dcterms:created>
  <dcterms:modified xsi:type="dcterms:W3CDTF">2014-04-25T13:05:00Z</dcterms:modified>
</cp:coreProperties>
</file>